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D9" w:rsidRDefault="007777D9">
      <w:pPr>
        <w:kinsoku w:val="0"/>
        <w:overflowPunct w:val="0"/>
        <w:autoSpaceDE/>
        <w:autoSpaceDN/>
        <w:adjustRightInd/>
        <w:spacing w:line="293" w:lineRule="exact"/>
        <w:ind w:left="72"/>
        <w:jc w:val="center"/>
        <w:textAlignment w:val="baseline"/>
        <w:rPr>
          <w:b/>
          <w:bCs/>
          <w:spacing w:val="8"/>
          <w:sz w:val="26"/>
          <w:szCs w:val="26"/>
          <w:lang w:val="es-ES" w:eastAsia="es-ES"/>
        </w:rPr>
      </w:pPr>
      <w:r>
        <w:rPr>
          <w:b/>
          <w:bCs/>
          <w:spacing w:val="8"/>
          <w:sz w:val="26"/>
          <w:szCs w:val="26"/>
          <w:lang w:val="es-ES" w:eastAsia="es-ES"/>
        </w:rPr>
        <w:t>Resolución No. TAT-2708-2015</w:t>
      </w:r>
    </w:p>
    <w:p w:rsidR="007777D9" w:rsidRDefault="007777D9">
      <w:pPr>
        <w:kinsoku w:val="0"/>
        <w:overflowPunct w:val="0"/>
        <w:autoSpaceDE/>
        <w:autoSpaceDN/>
        <w:adjustRightInd/>
        <w:spacing w:before="639" w:line="309"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San José, a las 10:33 horas</w:t>
      </w:r>
    </w:p>
    <w:p w:rsidR="007777D9" w:rsidRDefault="007777D9">
      <w:pPr>
        <w:tabs>
          <w:tab w:val="right" w:leader="hyphen" w:pos="8856"/>
        </w:tabs>
        <w:kinsoku w:val="0"/>
        <w:overflowPunct w:val="0"/>
        <w:autoSpaceDE/>
        <w:autoSpaceDN/>
        <w:adjustRightInd/>
        <w:spacing w:line="295" w:lineRule="exact"/>
        <w:ind w:left="72"/>
        <w:textAlignment w:val="baseline"/>
        <w:rPr>
          <w:sz w:val="26"/>
          <w:szCs w:val="26"/>
          <w:lang w:val="es-ES" w:eastAsia="es-ES"/>
        </w:rPr>
      </w:pPr>
      <w:r>
        <w:rPr>
          <w:sz w:val="26"/>
          <w:szCs w:val="26"/>
          <w:lang w:val="es-ES" w:eastAsia="es-ES"/>
        </w:rPr>
        <w:t>del Veintiocho de Agosto del Dos Mil Quince.</w:t>
      </w:r>
      <w:r>
        <w:rPr>
          <w:sz w:val="26"/>
          <w:szCs w:val="26"/>
          <w:lang w:val="es-ES" w:eastAsia="es-ES"/>
        </w:rPr>
        <w:tab/>
      </w:r>
    </w:p>
    <w:p w:rsidR="007777D9" w:rsidRDefault="007777D9">
      <w:pPr>
        <w:kinsoku w:val="0"/>
        <w:overflowPunct w:val="0"/>
        <w:autoSpaceDE/>
        <w:autoSpaceDN/>
        <w:adjustRightInd/>
        <w:spacing w:before="527" w:line="309"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RECURSOS DE REVOCATORIA CON APELACIÓN EN SUBSIDIO </w:t>
      </w:r>
      <w:r>
        <w:rPr>
          <w:sz w:val="26"/>
          <w:szCs w:val="26"/>
          <w:lang w:val="es-ES" w:eastAsia="es-ES"/>
        </w:rPr>
        <w:t>presentado por la señora N</w:t>
      </w:r>
      <w:r w:rsidR="00EE3580">
        <w:rPr>
          <w:sz w:val="26"/>
          <w:szCs w:val="26"/>
          <w:lang w:val="es-ES" w:eastAsia="es-ES"/>
        </w:rPr>
        <w:t>.M.C.N.</w:t>
      </w:r>
      <w:r>
        <w:rPr>
          <w:sz w:val="26"/>
          <w:szCs w:val="26"/>
          <w:lang w:val="es-ES" w:eastAsia="es-ES"/>
        </w:rPr>
        <w:t xml:space="preserve">, de calidades conocidas, portadora de la cédula de identidad número </w:t>
      </w:r>
      <w:r w:rsidR="00EE3580">
        <w:rPr>
          <w:sz w:val="26"/>
          <w:szCs w:val="26"/>
          <w:lang w:val="es-ES" w:eastAsia="es-ES"/>
        </w:rPr>
        <w:t>…</w:t>
      </w:r>
      <w:r>
        <w:rPr>
          <w:sz w:val="26"/>
          <w:szCs w:val="26"/>
          <w:lang w:val="es-ES" w:eastAsia="es-ES"/>
        </w:rPr>
        <w:t xml:space="preserve">, contra el Artículo 6.19.2 de la Sesión Ordinaria No. 75-2014 de fecha 08 de Diciembre del año 2014, de la Junta Directiva del Consejo de Transporte Público.- </w:t>
      </w:r>
      <w:r>
        <w:rPr>
          <w:b/>
          <w:bCs/>
          <w:i/>
          <w:iCs/>
          <w:sz w:val="26"/>
          <w:szCs w:val="26"/>
          <w:lang w:val="es-ES" w:eastAsia="es-ES"/>
        </w:rPr>
        <w:t xml:space="preserve">EXPEDIENTE No. </w:t>
      </w:r>
      <w:r w:rsidR="00EE3580">
        <w:rPr>
          <w:b/>
          <w:bCs/>
          <w:i/>
          <w:iCs/>
          <w:sz w:val="26"/>
          <w:szCs w:val="26"/>
          <w:lang w:val="es-ES" w:eastAsia="es-ES"/>
        </w:rPr>
        <w:t xml:space="preserve">                    </w:t>
      </w:r>
      <w:r>
        <w:rPr>
          <w:b/>
          <w:bCs/>
          <w:i/>
          <w:iCs/>
          <w:sz w:val="26"/>
          <w:szCs w:val="26"/>
          <w:lang w:val="es-ES" w:eastAsia="es-ES"/>
        </w:rPr>
        <w:t>TAT-229-15.</w:t>
      </w:r>
      <w:r>
        <w:rPr>
          <w:b/>
          <w:bCs/>
          <w:i/>
          <w:iCs/>
          <w:sz w:val="26"/>
          <w:szCs w:val="26"/>
          <w:lang w:val="es-ES" w:eastAsia="es-ES"/>
        </w:rPr>
        <w:noBreakHyphen/>
      </w:r>
    </w:p>
    <w:p w:rsidR="007777D9" w:rsidRDefault="007777D9">
      <w:pPr>
        <w:kinsoku w:val="0"/>
        <w:overflowPunct w:val="0"/>
        <w:autoSpaceDE/>
        <w:autoSpaceDN/>
        <w:adjustRightInd/>
        <w:spacing w:before="603" w:line="300" w:lineRule="exact"/>
        <w:ind w:left="72"/>
        <w:jc w:val="center"/>
        <w:textAlignment w:val="baseline"/>
        <w:rPr>
          <w:b/>
          <w:bCs/>
          <w:i/>
          <w:iCs/>
          <w:spacing w:val="6"/>
          <w:sz w:val="26"/>
          <w:szCs w:val="26"/>
          <w:lang w:val="es-ES" w:eastAsia="es-ES"/>
        </w:rPr>
      </w:pPr>
      <w:r>
        <w:rPr>
          <w:b/>
          <w:bCs/>
          <w:i/>
          <w:iCs/>
          <w:spacing w:val="6"/>
          <w:sz w:val="26"/>
          <w:szCs w:val="26"/>
          <w:lang w:val="es-ES" w:eastAsia="es-ES"/>
        </w:rPr>
        <w:t>Resultando:</w:t>
      </w:r>
    </w:p>
    <w:p w:rsidR="007777D9" w:rsidRDefault="007777D9">
      <w:pPr>
        <w:numPr>
          <w:ilvl w:val="0"/>
          <w:numId w:val="1"/>
        </w:numPr>
        <w:kinsoku w:val="0"/>
        <w:overflowPunct w:val="0"/>
        <w:autoSpaceDE/>
        <w:autoSpaceDN/>
        <w:adjustRightInd/>
        <w:spacing w:before="320" w:line="309" w:lineRule="exact"/>
        <w:ind w:right="144"/>
        <w:jc w:val="both"/>
        <w:textAlignment w:val="baseline"/>
        <w:rPr>
          <w:spacing w:val="6"/>
          <w:sz w:val="26"/>
          <w:szCs w:val="26"/>
          <w:lang w:val="es-ES" w:eastAsia="es-ES"/>
        </w:rPr>
      </w:pPr>
      <w:r>
        <w:rPr>
          <w:spacing w:val="6"/>
          <w:sz w:val="26"/>
          <w:szCs w:val="26"/>
          <w:lang w:val="es-ES" w:eastAsia="es-ES"/>
        </w:rPr>
        <w:t xml:space="preserve">Mediante su Acuerdo No. 6.19.2 de la Sesión Ordinaria No. 75-2014 de fecha 08 de Diciembre del año 2014, la Junta Directiva del Consejo de Transporte Público dispuso Denegar, por No Presentar Todos los Requisitos que se le Exigieran, una Solicitud de Traspaso de Concesión de Taxi </w:t>
      </w:r>
      <w:r>
        <w:rPr>
          <w:i/>
          <w:iCs/>
          <w:spacing w:val="6"/>
          <w:sz w:val="26"/>
          <w:szCs w:val="26"/>
          <w:lang w:val="es-ES" w:eastAsia="es-ES"/>
        </w:rPr>
        <w:t xml:space="preserve">(Mortis Causa) </w:t>
      </w:r>
      <w:r>
        <w:rPr>
          <w:spacing w:val="6"/>
          <w:sz w:val="26"/>
          <w:szCs w:val="26"/>
          <w:lang w:val="es-ES" w:eastAsia="es-ES"/>
        </w:rPr>
        <w:t>realizada por la Señora C</w:t>
      </w:r>
      <w:r w:rsidR="00EE3580">
        <w:rPr>
          <w:spacing w:val="6"/>
          <w:sz w:val="26"/>
          <w:szCs w:val="26"/>
          <w:lang w:val="es-ES" w:eastAsia="es-ES"/>
        </w:rPr>
        <w:t xml:space="preserve">.N. </w:t>
      </w:r>
      <w:r>
        <w:rPr>
          <w:spacing w:val="6"/>
          <w:sz w:val="26"/>
          <w:szCs w:val="26"/>
          <w:lang w:val="es-ES" w:eastAsia="es-ES"/>
        </w:rPr>
        <w:t>y, a la vez, Ordenar la Cancelación de la Concesión de Taxi Placas TSJ-</w:t>
      </w:r>
      <w:r w:rsidR="00EE3580">
        <w:rPr>
          <w:spacing w:val="6"/>
          <w:sz w:val="26"/>
          <w:szCs w:val="26"/>
          <w:lang w:val="es-ES" w:eastAsia="es-ES"/>
        </w:rPr>
        <w:t>XXX</w:t>
      </w:r>
      <w:r>
        <w:rPr>
          <w:spacing w:val="6"/>
          <w:sz w:val="26"/>
          <w:szCs w:val="26"/>
          <w:lang w:val="es-ES" w:eastAsia="es-ES"/>
        </w:rPr>
        <w:t>, según las determinaciones del numeral 42 Bis. de la Ley No. 7969.</w:t>
      </w:r>
    </w:p>
    <w:p w:rsidR="007777D9" w:rsidRDefault="007777D9">
      <w:pPr>
        <w:numPr>
          <w:ilvl w:val="0"/>
          <w:numId w:val="1"/>
        </w:numPr>
        <w:kinsoku w:val="0"/>
        <w:overflowPunct w:val="0"/>
        <w:autoSpaceDE/>
        <w:autoSpaceDN/>
        <w:adjustRightInd/>
        <w:spacing w:before="307" w:line="309" w:lineRule="exact"/>
        <w:ind w:right="144"/>
        <w:jc w:val="both"/>
        <w:textAlignment w:val="baseline"/>
        <w:rPr>
          <w:sz w:val="26"/>
          <w:szCs w:val="26"/>
          <w:lang w:val="es-ES" w:eastAsia="es-ES"/>
        </w:rPr>
      </w:pPr>
      <w:r>
        <w:rPr>
          <w:sz w:val="26"/>
          <w:szCs w:val="26"/>
          <w:lang w:val="es-ES" w:eastAsia="es-ES"/>
        </w:rPr>
        <w:t>Enterada del Acto antes citado, la Señora C</w:t>
      </w:r>
      <w:r w:rsidR="00EE3580">
        <w:rPr>
          <w:sz w:val="26"/>
          <w:szCs w:val="26"/>
          <w:lang w:val="es-ES" w:eastAsia="es-ES"/>
        </w:rPr>
        <w:t>.N.</w:t>
      </w:r>
      <w:r>
        <w:rPr>
          <w:sz w:val="26"/>
          <w:szCs w:val="26"/>
          <w:lang w:val="es-ES" w:eastAsia="es-ES"/>
        </w:rPr>
        <w:t xml:space="preserve"> procede a interponer formales Recursos de Revocatoria con Apelación en subsidio en contra del referido Acuerdo, según su Memorial de fecha 05 de Enero del 2015, presentado ante la Ventanilla Única del Consejo de Transporte Público el día 06 de Enero del 2015, al Expediente No. 294155.</w:t>
      </w:r>
    </w:p>
    <w:p w:rsidR="007777D9" w:rsidRDefault="007777D9">
      <w:pPr>
        <w:numPr>
          <w:ilvl w:val="0"/>
          <w:numId w:val="1"/>
        </w:numPr>
        <w:kinsoku w:val="0"/>
        <w:overflowPunct w:val="0"/>
        <w:autoSpaceDE/>
        <w:autoSpaceDN/>
        <w:adjustRightInd/>
        <w:spacing w:before="316" w:line="309" w:lineRule="exact"/>
        <w:ind w:right="144"/>
        <w:jc w:val="both"/>
        <w:textAlignment w:val="baseline"/>
        <w:rPr>
          <w:spacing w:val="7"/>
          <w:sz w:val="26"/>
          <w:szCs w:val="26"/>
          <w:lang w:val="es-ES" w:eastAsia="es-ES"/>
        </w:rPr>
      </w:pPr>
      <w:r>
        <w:rPr>
          <w:spacing w:val="7"/>
          <w:sz w:val="26"/>
          <w:szCs w:val="26"/>
          <w:lang w:val="es-ES" w:eastAsia="es-ES"/>
        </w:rPr>
        <w:t>En Primera Instancia y en mérito de la valoración que le realiza su Dirección Jurídica, según oficio No. DAJ 2015-001055, la junta Directiva del referido Consejo, mediante su Acuerdo No. 7.1.1 de su Sesión Ordinaria No. 19</w:t>
      </w:r>
      <w:r>
        <w:rPr>
          <w:spacing w:val="7"/>
          <w:sz w:val="26"/>
          <w:szCs w:val="26"/>
          <w:lang w:val="es-ES" w:eastAsia="es-ES"/>
        </w:rPr>
        <w:softHyphen/>
        <w:t>2015 del 09 de Abril del 2015, dispone Rechazar el Recurso de Revocatoria</w:t>
      </w:r>
    </w:p>
    <w:p w:rsidR="007777D9" w:rsidRDefault="007777D9">
      <w:pPr>
        <w:widowControl/>
        <w:rPr>
          <w:sz w:val="24"/>
          <w:szCs w:val="24"/>
        </w:rPr>
        <w:sectPr w:rsidR="007777D9">
          <w:pgSz w:w="12134" w:h="15840"/>
          <w:pgMar w:top="1417" w:right="1434" w:bottom="703" w:left="1660" w:header="720" w:footer="720" w:gutter="0"/>
          <w:cols w:space="720"/>
          <w:noEndnote/>
        </w:sectPr>
      </w:pPr>
    </w:p>
    <w:p w:rsidR="007777D9" w:rsidRDefault="007777D9">
      <w:pPr>
        <w:kinsoku w:val="0"/>
        <w:overflowPunct w:val="0"/>
        <w:autoSpaceDE/>
        <w:autoSpaceDN/>
        <w:adjustRightInd/>
        <w:spacing w:before="12" w:line="311" w:lineRule="exact"/>
        <w:ind w:left="144" w:right="72"/>
        <w:jc w:val="both"/>
        <w:textAlignment w:val="baseline"/>
        <w:rPr>
          <w:sz w:val="26"/>
          <w:szCs w:val="26"/>
          <w:lang w:val="es-ES" w:eastAsia="es-ES"/>
        </w:rPr>
      </w:pPr>
      <w:r>
        <w:rPr>
          <w:sz w:val="26"/>
          <w:szCs w:val="26"/>
          <w:lang w:val="es-ES" w:eastAsia="es-ES"/>
        </w:rPr>
        <w:lastRenderedPageBreak/>
        <w:t xml:space="preserve">interpuesto </w:t>
      </w:r>
      <w:r>
        <w:rPr>
          <w:i/>
          <w:iCs/>
          <w:sz w:val="26"/>
          <w:szCs w:val="26"/>
          <w:lang w:val="es-ES" w:eastAsia="es-ES"/>
        </w:rPr>
        <w:t xml:space="preserve">-en primera instancia- </w:t>
      </w:r>
      <w:r>
        <w:rPr>
          <w:sz w:val="26"/>
          <w:szCs w:val="26"/>
          <w:lang w:val="es-ES" w:eastAsia="es-ES"/>
        </w:rPr>
        <w:t>por la Interesada y elevar la Apelación subsidiaria ante este Tribunal.</w:t>
      </w:r>
    </w:p>
    <w:p w:rsidR="007777D9" w:rsidRDefault="007777D9">
      <w:pPr>
        <w:numPr>
          <w:ilvl w:val="0"/>
          <w:numId w:val="2"/>
        </w:numPr>
        <w:kinsoku w:val="0"/>
        <w:overflowPunct w:val="0"/>
        <w:autoSpaceDE/>
        <w:autoSpaceDN/>
        <w:adjustRightInd/>
        <w:spacing w:before="323" w:line="311" w:lineRule="exact"/>
        <w:ind w:right="72"/>
        <w:jc w:val="both"/>
        <w:textAlignment w:val="baseline"/>
        <w:rPr>
          <w:sz w:val="26"/>
          <w:szCs w:val="26"/>
          <w:lang w:val="es-ES" w:eastAsia="es-ES"/>
        </w:rPr>
      </w:pPr>
      <w:r>
        <w:rPr>
          <w:sz w:val="26"/>
          <w:szCs w:val="26"/>
          <w:lang w:val="es-ES" w:eastAsia="es-ES"/>
        </w:rPr>
        <w:t>En la Valoración de la Solicitud de Traspaso que se ha Denegado y que se diera a tenor de las determinaciones del TRANSITORIO ÚNICO de la Ley No. 9027 se Solicitaron y Valoraron Diversos Requisitos, Varios de ellos de Rigor en razón del Mandato de las Leyes Nos. 3503, 7331 (vigente en ese momento), 7969, entre otras; así como por Diversos Decretos y/o Reglamentos.</w:t>
      </w:r>
    </w:p>
    <w:p w:rsidR="007777D9" w:rsidRDefault="007777D9">
      <w:pPr>
        <w:numPr>
          <w:ilvl w:val="0"/>
          <w:numId w:val="2"/>
        </w:numPr>
        <w:kinsoku w:val="0"/>
        <w:overflowPunct w:val="0"/>
        <w:autoSpaceDE/>
        <w:autoSpaceDN/>
        <w:adjustRightInd/>
        <w:spacing w:before="322" w:line="311" w:lineRule="exact"/>
        <w:ind w:right="72"/>
        <w:jc w:val="both"/>
        <w:textAlignment w:val="baseline"/>
        <w:rPr>
          <w:sz w:val="26"/>
          <w:szCs w:val="26"/>
          <w:lang w:val="es-ES" w:eastAsia="es-ES"/>
        </w:rPr>
      </w:pPr>
      <w:r>
        <w:rPr>
          <w:sz w:val="26"/>
          <w:szCs w:val="26"/>
          <w:lang w:val="es-ES" w:eastAsia="es-ES"/>
        </w:rPr>
        <w:t>Conforme Prevención realizada mediante Oficio del día 23 de Junio del 2015, se Solicitó al Consejo de Transporte Público Diversas Explicaciones en cuanto a los Requisitos Solicitados y Valorados; a su Aprobación, Definición y/o Dimensionamiento por Parte de la Junta Directiva del Consejo de Transporte Público y sobre el Fundamento Jurídico de los Requisitos Valorados para la Resolución de los Traspaso de Concesiones de Taxi de Interés.</w:t>
      </w:r>
    </w:p>
    <w:p w:rsidR="007777D9" w:rsidRDefault="007777D9">
      <w:pPr>
        <w:numPr>
          <w:ilvl w:val="0"/>
          <w:numId w:val="2"/>
        </w:numPr>
        <w:kinsoku w:val="0"/>
        <w:overflowPunct w:val="0"/>
        <w:autoSpaceDE/>
        <w:autoSpaceDN/>
        <w:adjustRightInd/>
        <w:spacing w:before="322" w:line="311" w:lineRule="exact"/>
        <w:ind w:right="72"/>
        <w:jc w:val="both"/>
        <w:textAlignment w:val="baseline"/>
        <w:rPr>
          <w:spacing w:val="5"/>
          <w:sz w:val="26"/>
          <w:szCs w:val="26"/>
          <w:lang w:val="es-ES" w:eastAsia="es-ES"/>
        </w:rPr>
      </w:pPr>
      <w:r>
        <w:rPr>
          <w:spacing w:val="5"/>
          <w:sz w:val="26"/>
          <w:szCs w:val="26"/>
          <w:lang w:val="es-ES" w:eastAsia="es-ES"/>
        </w:rPr>
        <w:t>Mediante Oficio No. DAJ-2015002234 del 02 de julio del 2015, la Dirección de Asuntos Jurídicos del Consejo de Transporte Público, se Atiende la Prevención aludida en el Resultando inmediato anterior. Destacándose en la Respuesta brindada un Total de 16 Requisitos Solicitados y Valorados; así como la Determinación Expresa de que Tales Requisitos No Fueron Aprobados ni Autorizados por la Junta Directiva del Consejo de Transporte Público.</w:t>
      </w:r>
    </w:p>
    <w:p w:rsidR="007777D9" w:rsidRDefault="007777D9">
      <w:pPr>
        <w:numPr>
          <w:ilvl w:val="0"/>
          <w:numId w:val="2"/>
        </w:numPr>
        <w:kinsoku w:val="0"/>
        <w:overflowPunct w:val="0"/>
        <w:autoSpaceDE/>
        <w:autoSpaceDN/>
        <w:adjustRightInd/>
        <w:spacing w:before="302" w:line="311" w:lineRule="exact"/>
        <w:ind w:right="72"/>
        <w:jc w:val="both"/>
        <w:textAlignment w:val="baseline"/>
        <w:rPr>
          <w:sz w:val="26"/>
          <w:szCs w:val="26"/>
          <w:lang w:val="es-ES" w:eastAsia="es-ES"/>
        </w:rPr>
      </w:pPr>
      <w:r>
        <w:rPr>
          <w:sz w:val="26"/>
          <w:szCs w:val="26"/>
          <w:lang w:val="es-ES" w:eastAsia="es-ES"/>
        </w:rPr>
        <w:t>En observancia de los aspectos conducentes del Caso y conforme los Términos y Prescripciones de Ley, procede a Resolver este Tribunal.</w:t>
      </w:r>
    </w:p>
    <w:p w:rsidR="007777D9" w:rsidRPr="00EE3580" w:rsidRDefault="007777D9">
      <w:pPr>
        <w:kinsoku w:val="0"/>
        <w:overflowPunct w:val="0"/>
        <w:autoSpaceDE/>
        <w:autoSpaceDN/>
        <w:adjustRightInd/>
        <w:spacing w:before="647" w:line="296" w:lineRule="exact"/>
        <w:ind w:left="144" w:right="72"/>
        <w:textAlignment w:val="baseline"/>
        <w:rPr>
          <w:b/>
          <w:i/>
          <w:iCs/>
          <w:spacing w:val="-9"/>
          <w:sz w:val="26"/>
          <w:szCs w:val="26"/>
          <w:lang w:val="es-ES" w:eastAsia="es-ES"/>
        </w:rPr>
      </w:pPr>
      <w:r w:rsidRPr="00EE3580">
        <w:rPr>
          <w:b/>
          <w:i/>
          <w:iCs/>
          <w:spacing w:val="-9"/>
          <w:sz w:val="26"/>
          <w:szCs w:val="26"/>
          <w:lang w:val="es-ES" w:eastAsia="es-ES"/>
        </w:rPr>
        <w:t>REDACTA EL JUEZ QUESADA AGUIRRE,</w:t>
      </w:r>
    </w:p>
    <w:p w:rsidR="007777D9" w:rsidRPr="00EE3580" w:rsidRDefault="007777D9">
      <w:pPr>
        <w:kinsoku w:val="0"/>
        <w:overflowPunct w:val="0"/>
        <w:autoSpaceDE/>
        <w:autoSpaceDN/>
        <w:adjustRightInd/>
        <w:spacing w:before="324" w:line="296" w:lineRule="exact"/>
        <w:ind w:left="72" w:right="72"/>
        <w:jc w:val="center"/>
        <w:textAlignment w:val="baseline"/>
        <w:rPr>
          <w:b/>
          <w:i/>
          <w:iCs/>
          <w:spacing w:val="9"/>
          <w:sz w:val="26"/>
          <w:szCs w:val="26"/>
          <w:lang w:val="es-ES" w:eastAsia="es-ES"/>
        </w:rPr>
      </w:pPr>
      <w:r w:rsidRPr="00EE3580">
        <w:rPr>
          <w:b/>
          <w:i/>
          <w:iCs/>
          <w:spacing w:val="9"/>
          <w:sz w:val="26"/>
          <w:szCs w:val="26"/>
          <w:lang w:val="es-ES" w:eastAsia="es-ES"/>
        </w:rPr>
        <w:t>Considerando</w:t>
      </w:r>
    </w:p>
    <w:p w:rsidR="007777D9" w:rsidRDefault="007777D9">
      <w:pPr>
        <w:numPr>
          <w:ilvl w:val="0"/>
          <w:numId w:val="3"/>
        </w:numPr>
        <w:kinsoku w:val="0"/>
        <w:overflowPunct w:val="0"/>
        <w:autoSpaceDE/>
        <w:autoSpaceDN/>
        <w:adjustRightInd/>
        <w:spacing w:before="294" w:line="311" w:lineRule="exact"/>
        <w:ind w:right="72"/>
        <w:jc w:val="both"/>
        <w:textAlignment w:val="baseline"/>
        <w:rPr>
          <w:sz w:val="24"/>
          <w:szCs w:val="24"/>
          <w:lang w:eastAsia="en-US"/>
        </w:rPr>
      </w:pPr>
      <w:r>
        <w:rPr>
          <w:b/>
          <w:bCs/>
          <w:sz w:val="23"/>
          <w:szCs w:val="23"/>
          <w:lang w:val="es-ES" w:eastAsia="es-ES"/>
        </w:rPr>
        <w:t xml:space="preserve">SOBRE LA COMPETENCIA: </w:t>
      </w:r>
      <w:r>
        <w:rPr>
          <w:sz w:val="26"/>
          <w:szCs w:val="26"/>
          <w:lang w:val="es-ES" w:eastAsia="es-ES"/>
        </w:rPr>
        <w:t xml:space="preserve">El Tribunal Administrativo de Transporte es el Órgano Competente para conocer </w:t>
      </w:r>
      <w:r>
        <w:rPr>
          <w:i/>
          <w:iCs/>
          <w:sz w:val="26"/>
          <w:szCs w:val="26"/>
          <w:lang w:val="es-ES" w:eastAsia="es-ES"/>
        </w:rPr>
        <w:t xml:space="preserve">y </w:t>
      </w:r>
      <w:r>
        <w:rPr>
          <w:sz w:val="26"/>
          <w:szCs w:val="26"/>
          <w:lang w:val="es-ES" w:eastAsia="es-ES"/>
        </w:rPr>
        <w:t xml:space="preserve">resolver el presente </w:t>
      </w:r>
      <w:r>
        <w:rPr>
          <w:sz w:val="23"/>
          <w:szCs w:val="23"/>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w:t>
      </w:r>
      <w:r>
        <w:rPr>
          <w:i/>
          <w:iCs/>
          <w:sz w:val="26"/>
          <w:szCs w:val="26"/>
          <w:lang w:val="es-ES" w:eastAsia="es-ES"/>
        </w:rPr>
        <w:t xml:space="preserve">y </w:t>
      </w:r>
      <w:r>
        <w:rPr>
          <w:sz w:val="26"/>
          <w:szCs w:val="26"/>
          <w:lang w:val="es-ES" w:eastAsia="es-ES"/>
        </w:rPr>
        <w:t xml:space="preserve">sus Reformas </w:t>
      </w:r>
      <w:r>
        <w:rPr>
          <w:i/>
          <w:iCs/>
          <w:sz w:val="26"/>
          <w:szCs w:val="26"/>
          <w:lang w:val="es-ES" w:eastAsia="es-ES"/>
        </w:rPr>
        <w:t xml:space="preserve">(Ley No. 8955); </w:t>
      </w:r>
      <w:r>
        <w:rPr>
          <w:sz w:val="26"/>
          <w:szCs w:val="26"/>
          <w:lang w:val="es-ES" w:eastAsia="es-ES"/>
        </w:rPr>
        <w:t>según los términos de la Ley General de la Administración Pública.</w:t>
      </w:r>
      <w:r>
        <w:rPr>
          <w:sz w:val="26"/>
          <w:szCs w:val="26"/>
          <w:lang w:val="es-ES" w:eastAsia="es-ES"/>
        </w:rPr>
        <w:noBreakHyphen/>
      </w:r>
    </w:p>
    <w:p w:rsidR="007777D9" w:rsidRDefault="007777D9">
      <w:pPr>
        <w:numPr>
          <w:ilvl w:val="0"/>
          <w:numId w:val="3"/>
        </w:numPr>
        <w:kinsoku w:val="0"/>
        <w:overflowPunct w:val="0"/>
        <w:autoSpaceDE/>
        <w:autoSpaceDN/>
        <w:adjustRightInd/>
        <w:spacing w:before="317" w:line="303" w:lineRule="exact"/>
        <w:ind w:right="72"/>
        <w:jc w:val="both"/>
        <w:textAlignment w:val="baseline"/>
        <w:rPr>
          <w:sz w:val="26"/>
          <w:szCs w:val="26"/>
          <w:lang w:val="es-ES" w:eastAsia="es-ES"/>
        </w:rPr>
      </w:pPr>
      <w:r>
        <w:rPr>
          <w:b/>
          <w:bCs/>
          <w:sz w:val="23"/>
          <w:szCs w:val="23"/>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 La Recurrente se le Rechaza una Solicitud de Traspaso de Concesión de Taxi por Causa de Muerte del Concesionario Titular y, a la vez, se determina la</w:t>
      </w:r>
    </w:p>
    <w:p w:rsidR="007777D9" w:rsidRDefault="007777D9">
      <w:pPr>
        <w:widowControl/>
        <w:rPr>
          <w:sz w:val="24"/>
          <w:szCs w:val="24"/>
        </w:rPr>
        <w:sectPr w:rsidR="007777D9">
          <w:pgSz w:w="12134" w:h="15840"/>
          <w:pgMar w:top="1417" w:right="1484" w:bottom="708" w:left="1610" w:header="720" w:footer="720" w:gutter="0"/>
          <w:cols w:space="720"/>
          <w:noEndnote/>
        </w:sectPr>
      </w:pPr>
    </w:p>
    <w:p w:rsidR="007777D9" w:rsidRDefault="007777D9">
      <w:pPr>
        <w:kinsoku w:val="0"/>
        <w:overflowPunct w:val="0"/>
        <w:autoSpaceDE/>
        <w:autoSpaceDN/>
        <w:adjustRightInd/>
        <w:spacing w:line="310" w:lineRule="exact"/>
        <w:ind w:left="144" w:right="72"/>
        <w:jc w:val="both"/>
        <w:textAlignment w:val="baseline"/>
        <w:rPr>
          <w:b/>
          <w:bCs/>
          <w:sz w:val="24"/>
          <w:szCs w:val="24"/>
          <w:lang w:val="es-ES" w:eastAsia="es-ES"/>
        </w:rPr>
      </w:pPr>
      <w:r>
        <w:rPr>
          <w:sz w:val="27"/>
          <w:szCs w:val="27"/>
          <w:lang w:val="es-ES" w:eastAsia="es-ES"/>
        </w:rPr>
        <w:lastRenderedPageBreak/>
        <w:t>Cancelación del Derecho de Concesión de Ta</w:t>
      </w:r>
      <w:r w:rsidR="00EE3580">
        <w:rPr>
          <w:sz w:val="27"/>
          <w:szCs w:val="27"/>
          <w:lang w:val="es-ES" w:eastAsia="es-ES"/>
        </w:rPr>
        <w:t>xi relativo a la placa No. TSJ-XXX</w:t>
      </w:r>
      <w:r>
        <w:rPr>
          <w:sz w:val="27"/>
          <w:szCs w:val="27"/>
          <w:lang w:val="es-ES" w:eastAsia="es-ES"/>
        </w:rPr>
        <w:t xml:space="preserve">, mediante el Acuerdo Impugnado, por lo que cuenta con la Legitimación necesaria para actuar en el presente asunto. </w:t>
      </w:r>
      <w:r>
        <w:rPr>
          <w:b/>
          <w:bCs/>
          <w:sz w:val="27"/>
          <w:szCs w:val="27"/>
          <w:u w:val="single"/>
          <w:lang w:val="es-ES" w:eastAsia="es-ES"/>
        </w:rPr>
        <w:t>En cuanto al Plazo:</w:t>
      </w:r>
      <w:r>
        <w:rPr>
          <w:sz w:val="27"/>
          <w:szCs w:val="27"/>
          <w:lang w:val="es-ES" w:eastAsia="es-ES"/>
        </w:rPr>
        <w:t xml:space="preserve"> El Recurso de Apelación fue presentado el día 06 de Enero del 2015 </w:t>
      </w:r>
      <w:r>
        <w:rPr>
          <w:i/>
          <w:iCs/>
          <w:sz w:val="27"/>
          <w:szCs w:val="27"/>
          <w:lang w:val="es-ES" w:eastAsia="es-ES"/>
        </w:rPr>
        <w:t xml:space="preserve">(folios 006 y 007 del expediente de este caso); </w:t>
      </w:r>
      <w:r>
        <w:rPr>
          <w:sz w:val="27"/>
          <w:szCs w:val="27"/>
          <w:lang w:val="es-ES" w:eastAsia="es-ES"/>
        </w:rPr>
        <w:t xml:space="preserve">habiéndose comunicado el Acto Impugnado en fecha 17 de Diciembre del 2014 </w:t>
      </w:r>
      <w:r>
        <w:rPr>
          <w:i/>
          <w:iCs/>
          <w:sz w:val="27"/>
          <w:szCs w:val="27"/>
          <w:lang w:val="es-ES" w:eastAsia="es-ES"/>
        </w:rPr>
        <w:t xml:space="preserve">(folios 00.3 y 010 del expediente de este caso). </w:t>
      </w:r>
      <w:r>
        <w:rPr>
          <w:sz w:val="27"/>
          <w:szCs w:val="27"/>
          <w:lang w:val="es-ES" w:eastAsia="es-ES"/>
        </w:rPr>
        <w:t xml:space="preserve">Razón por la debe tenerse como establecido dentro del plazo a que alude el Artículo No. 11 de la Ley </w:t>
      </w:r>
      <w:r>
        <w:rPr>
          <w:b/>
          <w:bCs/>
          <w:sz w:val="24"/>
          <w:szCs w:val="24"/>
          <w:lang w:val="es-ES" w:eastAsia="es-ES"/>
        </w:rPr>
        <w:t>No. 7969. -</w:t>
      </w:r>
    </w:p>
    <w:p w:rsidR="007777D9" w:rsidRDefault="007777D9">
      <w:pPr>
        <w:kinsoku w:val="0"/>
        <w:overflowPunct w:val="0"/>
        <w:autoSpaceDE/>
        <w:autoSpaceDN/>
        <w:adjustRightInd/>
        <w:spacing w:before="324" w:line="315" w:lineRule="exact"/>
        <w:ind w:left="144" w:right="72"/>
        <w:jc w:val="both"/>
        <w:textAlignment w:val="baseline"/>
        <w:rPr>
          <w:sz w:val="27"/>
          <w:szCs w:val="27"/>
          <w:lang w:val="es-ES" w:eastAsia="es-ES"/>
        </w:rPr>
      </w:pPr>
      <w:r>
        <w:rPr>
          <w:b/>
          <w:bCs/>
          <w:sz w:val="24"/>
          <w:szCs w:val="24"/>
          <w:lang w:val="es-ES" w:eastAsia="es-ES"/>
        </w:rPr>
        <w:t xml:space="preserve">3.- SOBRE LOS HECHOS PROBADOS: </w:t>
      </w:r>
      <w:r>
        <w:rPr>
          <w:sz w:val="27"/>
          <w:szCs w:val="27"/>
          <w:lang w:val="es-ES" w:eastAsia="es-ES"/>
        </w:rPr>
        <w:t>De importancia para la decisión de este asunto, se estiman como debidamente demostrados los siguientes hechos:</w:t>
      </w:r>
    </w:p>
    <w:p w:rsidR="007777D9" w:rsidRDefault="007777D9">
      <w:pPr>
        <w:numPr>
          <w:ilvl w:val="0"/>
          <w:numId w:val="4"/>
        </w:numPr>
        <w:kinsoku w:val="0"/>
        <w:overflowPunct w:val="0"/>
        <w:autoSpaceDE/>
        <w:autoSpaceDN/>
        <w:adjustRightInd/>
        <w:spacing w:before="322" w:line="309" w:lineRule="exact"/>
        <w:ind w:right="72"/>
        <w:jc w:val="both"/>
        <w:textAlignment w:val="baseline"/>
        <w:rPr>
          <w:i/>
          <w:iCs/>
          <w:sz w:val="27"/>
          <w:szCs w:val="27"/>
          <w:lang w:val="es-ES" w:eastAsia="es-ES"/>
        </w:rPr>
      </w:pPr>
      <w:r>
        <w:rPr>
          <w:i/>
          <w:iCs/>
          <w:sz w:val="27"/>
          <w:szCs w:val="27"/>
          <w:lang w:val="es-ES" w:eastAsia="es-ES"/>
        </w:rPr>
        <w:t>Que por medio de su Acuerdo No. 6.19.2 de la Sesión Ordinaria No. 75-2014 de fecha 08 de Diciembre del año 2014, la Junta Directiva del Consejo de Transporte Público dispuso Denegar, por No Presentar Todos los Requisitos que se le Exigieran, una Solicitud de Traspaso de Concesión de Taxi (Mortis Causa) realizada por la Señora C</w:t>
      </w:r>
      <w:r w:rsidR="00D50F21">
        <w:rPr>
          <w:i/>
          <w:iCs/>
          <w:sz w:val="27"/>
          <w:szCs w:val="27"/>
          <w:lang w:val="es-ES" w:eastAsia="es-ES"/>
        </w:rPr>
        <w:t>.N.</w:t>
      </w:r>
      <w:r>
        <w:rPr>
          <w:i/>
          <w:iCs/>
          <w:sz w:val="27"/>
          <w:szCs w:val="27"/>
          <w:lang w:val="es-ES" w:eastAsia="es-ES"/>
        </w:rPr>
        <w:t xml:space="preserve"> y, a la vez, Ordenar la Cancelación de la Concesión de Taxi Placas TSJ-</w:t>
      </w:r>
      <w:r w:rsidR="00D50F21">
        <w:rPr>
          <w:i/>
          <w:iCs/>
          <w:sz w:val="27"/>
          <w:szCs w:val="27"/>
          <w:lang w:val="es-ES" w:eastAsia="es-ES"/>
        </w:rPr>
        <w:t>XXX</w:t>
      </w:r>
      <w:r>
        <w:rPr>
          <w:i/>
          <w:iCs/>
          <w:sz w:val="27"/>
          <w:szCs w:val="27"/>
          <w:lang w:val="es-ES" w:eastAsia="es-ES"/>
        </w:rPr>
        <w:t>, según las determinaciones del numeral 42 Bis. de la Ley No. 7969.</w:t>
      </w:r>
    </w:p>
    <w:p w:rsidR="007777D9" w:rsidRDefault="007777D9">
      <w:pPr>
        <w:numPr>
          <w:ilvl w:val="0"/>
          <w:numId w:val="4"/>
        </w:numPr>
        <w:kinsoku w:val="0"/>
        <w:overflowPunct w:val="0"/>
        <w:autoSpaceDE/>
        <w:autoSpaceDN/>
        <w:adjustRightInd/>
        <w:spacing w:before="323" w:line="309" w:lineRule="exact"/>
        <w:ind w:right="72"/>
        <w:jc w:val="both"/>
        <w:textAlignment w:val="baseline"/>
        <w:rPr>
          <w:i/>
          <w:iCs/>
          <w:sz w:val="27"/>
          <w:szCs w:val="27"/>
          <w:lang w:val="es-ES" w:eastAsia="es-ES"/>
        </w:rPr>
      </w:pPr>
      <w:r>
        <w:rPr>
          <w:i/>
          <w:iCs/>
          <w:sz w:val="27"/>
          <w:szCs w:val="27"/>
          <w:lang w:val="es-ES" w:eastAsia="es-ES"/>
        </w:rPr>
        <w:t>Que enterada del Acto antes citado, la Señora C</w:t>
      </w:r>
      <w:r w:rsidR="00D50F21">
        <w:rPr>
          <w:i/>
          <w:iCs/>
          <w:sz w:val="27"/>
          <w:szCs w:val="27"/>
          <w:lang w:val="es-ES" w:eastAsia="es-ES"/>
        </w:rPr>
        <w:t>.N.</w:t>
      </w:r>
      <w:r>
        <w:rPr>
          <w:i/>
          <w:iCs/>
          <w:sz w:val="27"/>
          <w:szCs w:val="27"/>
          <w:lang w:val="es-ES" w:eastAsia="es-ES"/>
        </w:rPr>
        <w:t xml:space="preserve"> procede a interponer formal Recursos de Revocatoria con Apelación en subsidio en contra del referido Acuerdo, según su Memorial de fecha 05 de Enero del 2015, presentado ante la Ventanilla Única del Consejo de Transporte Público el día 06 de Enero del 2015, al Expediente No. 294155.</w:t>
      </w:r>
    </w:p>
    <w:p w:rsidR="007777D9" w:rsidRDefault="007777D9">
      <w:pPr>
        <w:numPr>
          <w:ilvl w:val="0"/>
          <w:numId w:val="4"/>
        </w:numPr>
        <w:kinsoku w:val="0"/>
        <w:overflowPunct w:val="0"/>
        <w:autoSpaceDE/>
        <w:autoSpaceDN/>
        <w:adjustRightInd/>
        <w:spacing w:before="326" w:line="309" w:lineRule="exact"/>
        <w:ind w:right="72"/>
        <w:jc w:val="both"/>
        <w:textAlignment w:val="baseline"/>
        <w:rPr>
          <w:i/>
          <w:iCs/>
          <w:sz w:val="27"/>
          <w:szCs w:val="27"/>
          <w:lang w:val="es-ES" w:eastAsia="es-ES"/>
        </w:rPr>
      </w:pPr>
      <w:r>
        <w:rPr>
          <w:i/>
          <w:iCs/>
          <w:sz w:val="27"/>
          <w:szCs w:val="27"/>
          <w:lang w:val="es-ES" w:eastAsia="es-ES"/>
        </w:rPr>
        <w:t>Que en Primera Instancia y en mérito de la valoración que le realiza su Dirección Jurídica, según oficio No. DAJ 2015-001055, la Junta Directiva del referido Consejo, mediante su Acuerdo No. 7.1.1 de su Sesión Ordinaria No. 19</w:t>
      </w:r>
      <w:r>
        <w:rPr>
          <w:i/>
          <w:iCs/>
          <w:sz w:val="27"/>
          <w:szCs w:val="27"/>
          <w:lang w:val="es-ES" w:eastAsia="es-ES"/>
        </w:rPr>
        <w:softHyphen/>
        <w:t xml:space="preserve">2015 del 09 de Abril del 2015, dispone Rechazar el Recurso de Revocatoria interpuesto -en primera instancia- por la Interesada </w:t>
      </w:r>
      <w:r>
        <w:rPr>
          <w:sz w:val="27"/>
          <w:szCs w:val="27"/>
          <w:lang w:val="es-ES" w:eastAsia="es-ES"/>
        </w:rPr>
        <w:t xml:space="preserve">y </w:t>
      </w:r>
      <w:r>
        <w:rPr>
          <w:i/>
          <w:iCs/>
          <w:sz w:val="27"/>
          <w:szCs w:val="27"/>
          <w:lang w:val="es-ES" w:eastAsia="es-ES"/>
        </w:rPr>
        <w:t>elevar la Apelación subsidiaria ante este Tribunal.</w:t>
      </w:r>
    </w:p>
    <w:p w:rsidR="007777D9" w:rsidRDefault="007777D9">
      <w:pPr>
        <w:numPr>
          <w:ilvl w:val="0"/>
          <w:numId w:val="4"/>
        </w:numPr>
        <w:kinsoku w:val="0"/>
        <w:overflowPunct w:val="0"/>
        <w:autoSpaceDE/>
        <w:autoSpaceDN/>
        <w:adjustRightInd/>
        <w:spacing w:before="310" w:line="309" w:lineRule="exact"/>
        <w:ind w:right="72"/>
        <w:jc w:val="both"/>
        <w:textAlignment w:val="baseline"/>
        <w:rPr>
          <w:i/>
          <w:iCs/>
          <w:spacing w:val="-2"/>
          <w:sz w:val="27"/>
          <w:szCs w:val="27"/>
          <w:lang w:val="es-ES" w:eastAsia="es-ES"/>
        </w:rPr>
      </w:pPr>
      <w:r>
        <w:rPr>
          <w:i/>
          <w:iCs/>
          <w:spacing w:val="-2"/>
          <w:sz w:val="27"/>
          <w:szCs w:val="27"/>
          <w:lang w:val="es-ES" w:eastAsia="es-ES"/>
        </w:rPr>
        <w:t>Que en la Valoración de la Solicitud de Traspaso que se ha Denegado y que se diera a tenor de las determinaciones del TRANSITORIO ÚNICO de la Ley No. 9027 se Solicitaron y Valoraron Diversos Requisitos, Varios de ellos de Rigor en razón del Mandato de las Leyes Nos. 3503, 7331 (vigente en ese momento), 7969, entre otras; así como por Diversos Decretos y/o Reglamentos.</w:t>
      </w:r>
    </w:p>
    <w:p w:rsidR="007777D9" w:rsidRDefault="007777D9">
      <w:pPr>
        <w:numPr>
          <w:ilvl w:val="0"/>
          <w:numId w:val="4"/>
        </w:numPr>
        <w:kinsoku w:val="0"/>
        <w:overflowPunct w:val="0"/>
        <w:autoSpaceDE/>
        <w:autoSpaceDN/>
        <w:adjustRightInd/>
        <w:spacing w:before="326" w:line="309" w:lineRule="exact"/>
        <w:ind w:right="72"/>
        <w:jc w:val="both"/>
        <w:textAlignment w:val="baseline"/>
        <w:rPr>
          <w:i/>
          <w:iCs/>
          <w:spacing w:val="-1"/>
          <w:sz w:val="27"/>
          <w:szCs w:val="27"/>
          <w:lang w:val="es-ES" w:eastAsia="es-ES"/>
        </w:rPr>
      </w:pPr>
      <w:r>
        <w:rPr>
          <w:i/>
          <w:iCs/>
          <w:spacing w:val="-1"/>
          <w:sz w:val="27"/>
          <w:szCs w:val="27"/>
          <w:lang w:val="es-ES" w:eastAsia="es-ES"/>
        </w:rPr>
        <w:t>Que según Prevención realizada mediante Oficio del día 23 de Junio del 2015, se Solicitó al Consejo de Transporte Público Diversas Explicaciones en cuanto a los Requisitos Solicitados y Valorados; a su Aprobación, Definición y/o</w:t>
      </w:r>
    </w:p>
    <w:p w:rsidR="007777D9" w:rsidRDefault="007777D9">
      <w:pPr>
        <w:widowControl/>
        <w:rPr>
          <w:sz w:val="24"/>
          <w:szCs w:val="24"/>
        </w:rPr>
        <w:sectPr w:rsidR="007777D9">
          <w:pgSz w:w="12134" w:h="15840"/>
          <w:pgMar w:top="1417" w:right="1465" w:bottom="646" w:left="1629" w:header="720" w:footer="720" w:gutter="0"/>
          <w:cols w:space="720"/>
          <w:noEndnote/>
        </w:sectPr>
      </w:pPr>
    </w:p>
    <w:p w:rsidR="007777D9" w:rsidRDefault="007777D9">
      <w:pPr>
        <w:kinsoku w:val="0"/>
        <w:overflowPunct w:val="0"/>
        <w:autoSpaceDE/>
        <w:autoSpaceDN/>
        <w:adjustRightInd/>
        <w:spacing w:line="310" w:lineRule="exact"/>
        <w:ind w:left="72" w:right="72"/>
        <w:jc w:val="both"/>
        <w:textAlignment w:val="baseline"/>
        <w:rPr>
          <w:i/>
          <w:iCs/>
          <w:sz w:val="26"/>
          <w:szCs w:val="26"/>
          <w:lang w:val="es-ES" w:eastAsia="es-ES"/>
        </w:rPr>
      </w:pPr>
      <w:r>
        <w:rPr>
          <w:i/>
          <w:iCs/>
          <w:sz w:val="26"/>
          <w:szCs w:val="26"/>
          <w:lang w:val="es-ES" w:eastAsia="es-ES"/>
        </w:rPr>
        <w:lastRenderedPageBreak/>
        <w:t>Dimensionamiento por Parte de la Junta Directiva del Consejo de Transporte Público y sobre el Fundamento Jurídico de los Requisitos Valorados para la Resolución de los Traspasos de Concesiones de Taxi de Interés.</w:t>
      </w:r>
    </w:p>
    <w:p w:rsidR="007777D9" w:rsidRDefault="007777D9">
      <w:pPr>
        <w:tabs>
          <w:tab w:val="right" w:pos="8928"/>
        </w:tabs>
        <w:kinsoku w:val="0"/>
        <w:overflowPunct w:val="0"/>
        <w:autoSpaceDE/>
        <w:autoSpaceDN/>
        <w:adjustRightInd/>
        <w:spacing w:before="299" w:line="312" w:lineRule="exact"/>
        <w:ind w:left="72"/>
        <w:jc w:val="both"/>
        <w:textAlignment w:val="baseline"/>
        <w:rPr>
          <w:i/>
          <w:iCs/>
          <w:sz w:val="26"/>
          <w:szCs w:val="26"/>
          <w:lang w:val="es-ES" w:eastAsia="es-ES"/>
        </w:rPr>
      </w:pPr>
      <w:r w:rsidRPr="00D50F21">
        <w:rPr>
          <w:b/>
          <w:i/>
          <w:iCs/>
          <w:sz w:val="26"/>
          <w:szCs w:val="26"/>
          <w:lang w:val="es-ES" w:eastAsia="es-ES"/>
        </w:rPr>
        <w:t>f.-</w:t>
      </w:r>
      <w:r>
        <w:rPr>
          <w:i/>
          <w:iCs/>
          <w:sz w:val="26"/>
          <w:szCs w:val="26"/>
          <w:lang w:val="es-ES" w:eastAsia="es-ES"/>
        </w:rPr>
        <w:tab/>
        <w:t>Que mediante Oficio No. DAJ-2015002234 del 02 de Julio del 2015, la</w:t>
      </w:r>
    </w:p>
    <w:p w:rsidR="007777D9" w:rsidRDefault="007777D9">
      <w:pPr>
        <w:kinsoku w:val="0"/>
        <w:overflowPunct w:val="0"/>
        <w:autoSpaceDE/>
        <w:autoSpaceDN/>
        <w:adjustRightInd/>
        <w:spacing w:before="8" w:line="312" w:lineRule="exact"/>
        <w:ind w:left="72" w:right="72"/>
        <w:jc w:val="both"/>
        <w:textAlignment w:val="baseline"/>
        <w:rPr>
          <w:i/>
          <w:iCs/>
          <w:sz w:val="26"/>
          <w:szCs w:val="26"/>
          <w:lang w:val="es-ES" w:eastAsia="es-ES"/>
        </w:rPr>
      </w:pPr>
      <w:r>
        <w:rPr>
          <w:i/>
          <w:iCs/>
          <w:sz w:val="26"/>
          <w:szCs w:val="26"/>
          <w:lang w:val="es-ES" w:eastAsia="es-ES"/>
        </w:rPr>
        <w:t>Dirección de Asuntos Jurídicos del Consejo de Transporte Público, se Atiende la Prevención aludida en el Resultando inmediato anterior. Destacándose en la Respuesta brindada un Total de 16 Requisitos Solicitados y Valorados; así como la Determinación Expresa de que Tales Requisitos No Fueron Aprobados ni Autorizados por la Junta Directiva del Consejo de Transporte Público.</w:t>
      </w:r>
    </w:p>
    <w:p w:rsidR="007777D9" w:rsidRDefault="007777D9">
      <w:pPr>
        <w:numPr>
          <w:ilvl w:val="0"/>
          <w:numId w:val="5"/>
        </w:numPr>
        <w:kinsoku w:val="0"/>
        <w:overflowPunct w:val="0"/>
        <w:autoSpaceDE/>
        <w:autoSpaceDN/>
        <w:adjustRightInd/>
        <w:spacing w:before="611" w:line="307" w:lineRule="exact"/>
        <w:textAlignment w:val="baseline"/>
        <w:rPr>
          <w:b/>
          <w:bCs/>
          <w:spacing w:val="-13"/>
          <w:sz w:val="26"/>
          <w:szCs w:val="26"/>
          <w:lang w:val="es-ES" w:eastAsia="es-ES"/>
        </w:rPr>
      </w:pPr>
      <w:r>
        <w:rPr>
          <w:b/>
          <w:bCs/>
          <w:spacing w:val="-13"/>
          <w:sz w:val="26"/>
          <w:szCs w:val="26"/>
          <w:lang w:val="es-ES" w:eastAsia="es-ES"/>
        </w:rPr>
        <w:t>HECHOS NO PROBADOS:</w:t>
      </w:r>
    </w:p>
    <w:p w:rsidR="007777D9" w:rsidRDefault="007777D9">
      <w:pPr>
        <w:kinsoku w:val="0"/>
        <w:overflowPunct w:val="0"/>
        <w:autoSpaceDE/>
        <w:autoSpaceDN/>
        <w:adjustRightInd/>
        <w:spacing w:before="196" w:line="306" w:lineRule="exact"/>
        <w:ind w:left="72" w:right="72"/>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7777D9" w:rsidRDefault="007777D9">
      <w:pPr>
        <w:numPr>
          <w:ilvl w:val="0"/>
          <w:numId w:val="5"/>
        </w:numPr>
        <w:kinsoku w:val="0"/>
        <w:overflowPunct w:val="0"/>
        <w:autoSpaceDE/>
        <w:autoSpaceDN/>
        <w:adjustRightInd/>
        <w:spacing w:before="610" w:line="307" w:lineRule="exact"/>
        <w:textAlignment w:val="baseline"/>
        <w:rPr>
          <w:b/>
          <w:bCs/>
          <w:spacing w:val="-14"/>
          <w:sz w:val="26"/>
          <w:szCs w:val="26"/>
          <w:lang w:val="es-ES" w:eastAsia="es-ES"/>
        </w:rPr>
      </w:pPr>
      <w:r>
        <w:rPr>
          <w:b/>
          <w:bCs/>
          <w:spacing w:val="-14"/>
          <w:sz w:val="26"/>
          <w:szCs w:val="26"/>
          <w:lang w:val="es-ES" w:eastAsia="es-ES"/>
        </w:rPr>
        <w:t>SOBRE EL FONDO:</w:t>
      </w:r>
    </w:p>
    <w:p w:rsidR="007777D9" w:rsidRDefault="007777D9">
      <w:pPr>
        <w:kinsoku w:val="0"/>
        <w:overflowPunct w:val="0"/>
        <w:autoSpaceDE/>
        <w:autoSpaceDN/>
        <w:adjustRightInd/>
        <w:spacing w:before="214" w:line="307" w:lineRule="exact"/>
        <w:ind w:left="72" w:right="144"/>
        <w:jc w:val="both"/>
        <w:textAlignment w:val="baseline"/>
        <w:rPr>
          <w:sz w:val="26"/>
          <w:szCs w:val="26"/>
          <w:lang w:val="es-ES" w:eastAsia="es-ES"/>
        </w:rPr>
      </w:pPr>
      <w:r>
        <w:rPr>
          <w:sz w:val="26"/>
          <w:szCs w:val="26"/>
          <w:lang w:val="es-ES" w:eastAsia="es-ES"/>
        </w:rPr>
        <w:t xml:space="preserve">De nuestro Estudio de este Caso y de Otros Muy Similares, así como del Tema de Interés, cual es </w:t>
      </w:r>
      <w:r>
        <w:rPr>
          <w:b/>
          <w:bCs/>
          <w:sz w:val="26"/>
          <w:szCs w:val="26"/>
          <w:lang w:val="es-ES" w:eastAsia="es-ES"/>
        </w:rPr>
        <w:t xml:space="preserve">LA PROCEDENCIA DEL TRASPASO DE LAS CONCESIONES DE TAXI POR CAUSA DE MUERTE </w:t>
      </w:r>
      <w:r>
        <w:rPr>
          <w:rFonts w:ascii="Garamond" w:hAnsi="Garamond" w:cs="Garamond"/>
          <w:b/>
          <w:bCs/>
          <w:i/>
          <w:iCs/>
          <w:sz w:val="23"/>
          <w:szCs w:val="23"/>
          <w:lang w:val="es-ES" w:eastAsia="es-ES"/>
        </w:rPr>
        <w:t xml:space="preserve">(MORTIS CAUSA) </w:t>
      </w:r>
      <w:r>
        <w:rPr>
          <w:b/>
          <w:bCs/>
          <w:sz w:val="26"/>
          <w:szCs w:val="26"/>
          <w:lang w:val="es-ES" w:eastAsia="es-ES"/>
        </w:rPr>
        <w:t xml:space="preserve">DEL CONCESIONARIO, </w:t>
      </w:r>
      <w:r>
        <w:rPr>
          <w:sz w:val="26"/>
          <w:szCs w:val="26"/>
          <w:lang w:val="es-ES" w:eastAsia="es-ES"/>
        </w:rPr>
        <w:t xml:space="preserve">hemos podido visualizar que en el año 2007 y conforme nuestra Resolución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 xml:space="preserve">que Autorizara el Traspaso Mortis Causa de las Concesiones de Taxi y que, más bien, a tenor de las Disposiciones de los Contratos de Concesión, de la Ley No. 7969 y de la Ley de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fenecerse.</w:t>
      </w:r>
    </w:p>
    <w:p w:rsidR="007777D9" w:rsidRDefault="007777D9">
      <w:pPr>
        <w:kinsoku w:val="0"/>
        <w:overflowPunct w:val="0"/>
        <w:autoSpaceDE/>
        <w:autoSpaceDN/>
        <w:adjustRightInd/>
        <w:spacing w:before="344" w:line="306" w:lineRule="exact"/>
        <w:ind w:left="72" w:right="144"/>
        <w:jc w:val="both"/>
        <w:textAlignment w:val="baseline"/>
        <w:rPr>
          <w:b/>
          <w:bCs/>
          <w:spacing w:val="-2"/>
          <w:sz w:val="26"/>
          <w:szCs w:val="26"/>
          <w:lang w:val="es-ES" w:eastAsia="es-ES"/>
        </w:rPr>
      </w:pPr>
      <w:r>
        <w:rPr>
          <w:spacing w:val="-2"/>
          <w:sz w:val="26"/>
          <w:szCs w:val="26"/>
          <w:lang w:val="es-ES" w:eastAsia="es-ES"/>
        </w:rPr>
        <w:t>El Asunto anterior, a saber el relativo a la Posibilidad Jurídico/Normativa de que el Consejo de Transporte Público pudiera Autorizar o No el Traspaso de una Concesión de Taxi ante la Muerte de su Titular, se consulta a la Procuraduría General de la República la cual, mediante su Dictamen C-140</w:t>
      </w:r>
      <w:r w:rsidR="00D50F21">
        <w:rPr>
          <w:spacing w:val="-2"/>
          <w:sz w:val="26"/>
          <w:szCs w:val="26"/>
          <w:lang w:val="es-ES" w:eastAsia="es-ES"/>
        </w:rPr>
        <w:t>-</w:t>
      </w:r>
      <w:r>
        <w:rPr>
          <w:spacing w:val="-2"/>
          <w:sz w:val="26"/>
          <w:szCs w:val="26"/>
          <w:lang w:val="es-ES" w:eastAsia="es-ES"/>
        </w:rPr>
        <w:softHyphen/>
        <w:t xml:space="preserve">2008 del 30 de Abril del 2008, </w:t>
      </w:r>
      <w:r>
        <w:rPr>
          <w:b/>
          <w:bCs/>
          <w:spacing w:val="-2"/>
          <w:sz w:val="26"/>
          <w:szCs w:val="26"/>
          <w:lang w:val="es-ES" w:eastAsia="es-ES"/>
        </w:rPr>
        <w:t>DECLINA SU COMPETENCIA PARA REFERIRSE AL TEMA, PUES ESTIMA QUE SE TRATA DE MATERIA DE CONTRATACIÓN PÚBLICA, PROPIA DE LA CONTRALORÍA GENERAL DE LA REPÚBLICA.</w:t>
      </w:r>
    </w:p>
    <w:p w:rsidR="007777D9" w:rsidRDefault="007777D9">
      <w:pPr>
        <w:kinsoku w:val="0"/>
        <w:overflowPunct w:val="0"/>
        <w:autoSpaceDE/>
        <w:autoSpaceDN/>
        <w:adjustRightInd/>
        <w:spacing w:before="306" w:after="386" w:line="310" w:lineRule="exact"/>
        <w:ind w:left="72" w:right="144"/>
        <w:jc w:val="both"/>
        <w:textAlignment w:val="baseline"/>
        <w:rPr>
          <w:i/>
          <w:iCs/>
          <w:sz w:val="26"/>
          <w:szCs w:val="26"/>
          <w:lang w:val="es-ES" w:eastAsia="es-ES"/>
        </w:rPr>
      </w:pPr>
      <w:r>
        <w:rPr>
          <w:sz w:val="26"/>
          <w:szCs w:val="26"/>
          <w:lang w:val="es-ES" w:eastAsia="es-ES"/>
        </w:rPr>
        <w:t xml:space="preserve">Dado todo lo antepuesto, el Poder Ejecutivo viene a promulgar de forma Urgente el Decreto Ejecutivo No. 34541-MOPT: </w:t>
      </w:r>
      <w:r>
        <w:rPr>
          <w:i/>
          <w:iCs/>
          <w:sz w:val="26"/>
          <w:szCs w:val="26"/>
          <w:lang w:val="es-ES" w:eastAsia="es-ES"/>
        </w:rPr>
        <w:t>"Autorización al Consejo de Transporte Público conforme a los Requisitos Previos para que Pueda Autorizar</w:t>
      </w:r>
    </w:p>
    <w:p w:rsidR="007777D9" w:rsidRDefault="007777D9">
      <w:pPr>
        <w:widowControl/>
        <w:rPr>
          <w:sz w:val="24"/>
          <w:szCs w:val="24"/>
        </w:rPr>
        <w:sectPr w:rsidR="007777D9">
          <w:pgSz w:w="12134" w:h="15840"/>
          <w:pgMar w:top="1480" w:right="1501" w:bottom="224" w:left="1593" w:header="720" w:footer="720" w:gutter="0"/>
          <w:cols w:space="720"/>
          <w:noEndnote/>
        </w:sectPr>
      </w:pPr>
    </w:p>
    <w:p w:rsidR="007777D9" w:rsidRDefault="007777D9">
      <w:pPr>
        <w:widowControl/>
        <w:rPr>
          <w:sz w:val="24"/>
          <w:szCs w:val="24"/>
        </w:rPr>
        <w:sectPr w:rsidR="007777D9">
          <w:type w:val="continuous"/>
          <w:pgSz w:w="12134" w:h="15840"/>
          <w:pgMar w:top="1480" w:right="2465" w:bottom="224" w:left="7589" w:header="720" w:footer="720" w:gutter="0"/>
          <w:cols w:space="720"/>
          <w:noEndnote/>
        </w:sectPr>
      </w:pPr>
    </w:p>
    <w:p w:rsidR="007777D9" w:rsidRDefault="007777D9">
      <w:pPr>
        <w:kinsoku w:val="0"/>
        <w:overflowPunct w:val="0"/>
        <w:autoSpaceDE/>
        <w:autoSpaceDN/>
        <w:adjustRightInd/>
        <w:spacing w:before="27" w:line="305" w:lineRule="exact"/>
        <w:ind w:left="72" w:right="72"/>
        <w:jc w:val="both"/>
        <w:textAlignment w:val="baseline"/>
        <w:rPr>
          <w:sz w:val="26"/>
          <w:szCs w:val="26"/>
          <w:lang w:val="es-ES" w:eastAsia="es-ES"/>
        </w:rPr>
      </w:pPr>
      <w:r>
        <w:rPr>
          <w:i/>
          <w:iCs/>
          <w:sz w:val="26"/>
          <w:szCs w:val="26"/>
          <w:lang w:val="es-ES" w:eastAsia="es-ES"/>
        </w:rPr>
        <w:lastRenderedPageBreak/>
        <w:t xml:space="preserve">el Traspaso de la Concesión, en el Servicio Público de Taxi, cuando se Produjere la Muerte del Concesionario". </w:t>
      </w:r>
      <w:r>
        <w:rPr>
          <w:sz w:val="26"/>
          <w:szCs w:val="26"/>
          <w:lang w:val="es-ES" w:eastAsia="es-ES"/>
        </w:rPr>
        <w:t>Ello en procura de llenar el Vacío Legal existente y dar sustento a los Traspasos de Concesiones que se Estaban Autorizando y se Habían Autorizado en Situaciones de Muerte del Concesionario.</w:t>
      </w:r>
    </w:p>
    <w:p w:rsidR="007777D9" w:rsidRDefault="007777D9">
      <w:pPr>
        <w:kinsoku w:val="0"/>
        <w:overflowPunct w:val="0"/>
        <w:autoSpaceDE/>
        <w:autoSpaceDN/>
        <w:adjustRightInd/>
        <w:spacing w:before="343" w:line="306" w:lineRule="exact"/>
        <w:ind w:left="72" w:right="72"/>
        <w:jc w:val="both"/>
        <w:textAlignment w:val="baseline"/>
        <w:rPr>
          <w:spacing w:val="3"/>
          <w:sz w:val="26"/>
          <w:szCs w:val="26"/>
          <w:lang w:val="es-ES" w:eastAsia="es-ES"/>
        </w:rPr>
      </w:pPr>
      <w:r>
        <w:rPr>
          <w:spacing w:val="3"/>
          <w:sz w:val="26"/>
          <w:szCs w:val="26"/>
          <w:lang w:val="es-ES" w:eastAsia="es-ES"/>
        </w:rPr>
        <w:t xml:space="preserve">Teniéndose que mediante su Dictamen No. C-074-2011 del 29 de Marzo del 2011, la Procuraduría General de la República, viene a determinar que ante Vicios de Exceso en la Potestad Reglamentaria, por No Existir Ninguna Norma Legal </w:t>
      </w:r>
      <w:r>
        <w:rPr>
          <w:i/>
          <w:iCs/>
          <w:spacing w:val="3"/>
          <w:sz w:val="26"/>
          <w:szCs w:val="26"/>
          <w:lang w:val="es-ES" w:eastAsia="es-ES"/>
        </w:rPr>
        <w:t xml:space="preserve">(sentido estricto y formal) </w:t>
      </w:r>
      <w:r>
        <w:rPr>
          <w:spacing w:val="3"/>
          <w:sz w:val="26"/>
          <w:szCs w:val="26"/>
          <w:lang w:val="es-ES" w:eastAsia="es-ES"/>
        </w:rPr>
        <w:t xml:space="preserve">que Autorice el Traspaso </w:t>
      </w:r>
      <w:r>
        <w:rPr>
          <w:i/>
          <w:iCs/>
          <w:spacing w:val="3"/>
          <w:sz w:val="26"/>
          <w:szCs w:val="26"/>
          <w:lang w:val="es-ES" w:eastAsia="es-ES"/>
        </w:rPr>
        <w:t xml:space="preserve">Mortís Causa </w:t>
      </w:r>
      <w:r>
        <w:rPr>
          <w:spacing w:val="3"/>
          <w:sz w:val="26"/>
          <w:szCs w:val="26"/>
          <w:lang w:val="es-ES" w:eastAsia="es-ES"/>
        </w:rPr>
        <w:t xml:space="preserve">de las Concesiones de Taxi y </w:t>
      </w:r>
      <w:r>
        <w:rPr>
          <w:b/>
          <w:bCs/>
          <w:i/>
          <w:iCs/>
          <w:spacing w:val="3"/>
          <w:sz w:val="26"/>
          <w:szCs w:val="26"/>
          <w:lang w:val="es-ES" w:eastAsia="es-ES"/>
        </w:rPr>
        <w:t xml:space="preserve">dado que las Concesiones de Taxi NO son Bienes Sucesorios, </w:t>
      </w:r>
      <w:r>
        <w:rPr>
          <w:spacing w:val="3"/>
          <w:sz w:val="26"/>
          <w:szCs w:val="26"/>
          <w:lang w:val="es-ES" w:eastAsia="es-ES"/>
        </w:rPr>
        <w:t xml:space="preserve">el Decreto Promulgado </w:t>
      </w:r>
      <w:r>
        <w:rPr>
          <w:b/>
          <w:bCs/>
          <w:spacing w:val="3"/>
          <w:sz w:val="26"/>
          <w:szCs w:val="26"/>
          <w:u w:val="single"/>
          <w:lang w:val="es-ES" w:eastAsia="es-ES"/>
        </w:rPr>
        <w:t>DEBÍA SER DESAPLICADO EN TODOS SUS ALCANCES Y EFECTOS.</w:t>
      </w:r>
      <w:r>
        <w:rPr>
          <w:spacing w:val="3"/>
          <w:sz w:val="26"/>
          <w:szCs w:val="26"/>
          <w:lang w:val="es-ES" w:eastAsia="es-ES"/>
        </w:rPr>
        <w:t xml:space="preserve"> Indicando, además, que </w:t>
      </w:r>
      <w:r>
        <w:rPr>
          <w:b/>
          <w:bCs/>
          <w:spacing w:val="3"/>
          <w:sz w:val="26"/>
          <w:szCs w:val="26"/>
          <w:u w:val="single"/>
          <w:lang w:val="es-ES" w:eastAsia="es-ES"/>
        </w:rPr>
        <w:t>NO PROCEDÍA</w:t>
      </w:r>
      <w:r>
        <w:rPr>
          <w:spacing w:val="3"/>
          <w:sz w:val="26"/>
          <w:szCs w:val="26"/>
          <w:lang w:val="es-ES" w:eastAsia="es-ES"/>
        </w:rPr>
        <w:t xml:space="preserve"> el Traspaso </w:t>
      </w:r>
      <w:r>
        <w:rPr>
          <w:i/>
          <w:iCs/>
          <w:spacing w:val="3"/>
          <w:sz w:val="26"/>
          <w:szCs w:val="26"/>
          <w:lang w:val="es-ES" w:eastAsia="es-ES"/>
        </w:rPr>
        <w:t xml:space="preserve">Mortis Causa </w:t>
      </w:r>
      <w:r>
        <w:rPr>
          <w:spacing w:val="3"/>
          <w:sz w:val="26"/>
          <w:szCs w:val="26"/>
          <w:lang w:val="es-ES" w:eastAsia="es-ES"/>
        </w:rPr>
        <w:t>de las Concesiones de Taxi, por Falta de Sustento o Autorización Legal.</w:t>
      </w:r>
    </w:p>
    <w:p w:rsidR="007777D9" w:rsidRDefault="007777D9">
      <w:pPr>
        <w:kinsoku w:val="0"/>
        <w:overflowPunct w:val="0"/>
        <w:autoSpaceDE/>
        <w:autoSpaceDN/>
        <w:adjustRightInd/>
        <w:spacing w:before="310" w:line="313" w:lineRule="exact"/>
        <w:ind w:left="72" w:right="72"/>
        <w:jc w:val="both"/>
        <w:textAlignment w:val="baseline"/>
        <w:rPr>
          <w:i/>
          <w:iCs/>
          <w:spacing w:val="6"/>
          <w:sz w:val="26"/>
          <w:szCs w:val="26"/>
          <w:lang w:val="es-ES" w:eastAsia="es-ES"/>
        </w:rPr>
      </w:pPr>
      <w:r>
        <w:rPr>
          <w:spacing w:val="6"/>
          <w:sz w:val="26"/>
          <w:szCs w:val="26"/>
          <w:lang w:val="es-ES" w:eastAsia="es-ES"/>
        </w:rPr>
        <w:t xml:space="preserve">Corno Solución a lo Precedente, se recurre a la Asamblea Legislativa y ésta promulga la Ley No. 9027 del 06 de Febrero del año 2012. Misma por la cual se dispone la Procedencia </w:t>
      </w:r>
      <w:r>
        <w:rPr>
          <w:i/>
          <w:iCs/>
          <w:spacing w:val="6"/>
          <w:sz w:val="26"/>
          <w:szCs w:val="26"/>
          <w:lang w:val="es-ES" w:eastAsia="es-ES"/>
        </w:rPr>
        <w:t xml:space="preserve">(en ciertas condiciones) </w:t>
      </w:r>
      <w:r>
        <w:rPr>
          <w:spacing w:val="6"/>
          <w:sz w:val="26"/>
          <w:szCs w:val="26"/>
          <w:lang w:val="es-ES" w:eastAsia="es-ES"/>
        </w:rPr>
        <w:t xml:space="preserve">del Traspaso de las Concesiones de Taxi cuando se dé la Muerte del Concesionario </w:t>
      </w:r>
      <w:r>
        <w:rPr>
          <w:i/>
          <w:iCs/>
          <w:spacing w:val="6"/>
          <w:sz w:val="26"/>
          <w:szCs w:val="26"/>
          <w:lang w:val="es-ES" w:eastAsia="es-ES"/>
        </w:rPr>
        <w:t>(Mortis Causa).</w:t>
      </w:r>
    </w:p>
    <w:p w:rsidR="007777D9" w:rsidRDefault="007777D9">
      <w:pPr>
        <w:kinsoku w:val="0"/>
        <w:overflowPunct w:val="0"/>
        <w:autoSpaceDE/>
        <w:autoSpaceDN/>
        <w:adjustRightInd/>
        <w:spacing w:before="344" w:after="278" w:line="306" w:lineRule="exact"/>
        <w:ind w:left="72" w:right="72"/>
        <w:jc w:val="both"/>
        <w:textAlignment w:val="baseline"/>
        <w:rPr>
          <w:spacing w:val="4"/>
          <w:sz w:val="26"/>
          <w:szCs w:val="26"/>
          <w:lang w:val="es-ES" w:eastAsia="es-ES"/>
        </w:rPr>
      </w:pPr>
      <w:r>
        <w:rPr>
          <w:spacing w:val="4"/>
          <w:sz w:val="26"/>
          <w:szCs w:val="26"/>
          <w:lang w:val="es-ES" w:eastAsia="es-ES"/>
        </w:rPr>
        <w:t>De lo referido se colige que ANTES de la emisión de la Resolución No. 1639</w:t>
      </w:r>
      <w:r>
        <w:rPr>
          <w:spacing w:val="4"/>
          <w:sz w:val="26"/>
          <w:szCs w:val="26"/>
          <w:lang w:val="es-ES" w:eastAsia="es-ES"/>
        </w:rPr>
        <w:softHyphen/>
        <w:t xml:space="preserve">2007 de las 10:30 horas del 28 de Setiembre del 2007 de este Tribunal, se daba el Traspaso de Concesiones de Taxi cuando el Concesionario Fallecía. Práctica que del momento 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Pr>
          <w:i/>
          <w:iCs/>
          <w:spacing w:val="4"/>
          <w:sz w:val="26"/>
          <w:szCs w:val="26"/>
          <w:lang w:val="es-ES" w:eastAsia="es-ES"/>
        </w:rPr>
        <w:t xml:space="preserve">(por cerca de Tres Años), </w:t>
      </w:r>
      <w:r>
        <w:rPr>
          <w:spacing w:val="4"/>
          <w:sz w:val="26"/>
          <w:szCs w:val="26"/>
          <w:lang w:val="es-ES" w:eastAsia="es-ES"/>
        </w:rPr>
        <w:t>la misma VOLVIÓ A OPERAR BAJO CIERTOS REQUISITOS. Paralizándose nuevamente los Traspasos de Concesiones con la emisión del Dictamen aludido y volviendo a tornarse en procedente hasta la Emisión de la Ley No. 9027 en el año 2012 y bajo los términos particulares de ésta, la cual dispone:</w:t>
      </w:r>
    </w:p>
    <w:p w:rsidR="007777D9" w:rsidRDefault="007777D9">
      <w:pPr>
        <w:widowControl/>
        <w:rPr>
          <w:sz w:val="24"/>
          <w:szCs w:val="24"/>
        </w:rPr>
        <w:sectPr w:rsidR="007777D9">
          <w:pgSz w:w="12134" w:h="15840"/>
          <w:pgMar w:top="1420" w:right="1499" w:bottom="140" w:left="1595" w:header="720" w:footer="720" w:gutter="0"/>
          <w:cols w:space="720"/>
          <w:noEndnote/>
        </w:sectPr>
      </w:pPr>
    </w:p>
    <w:p w:rsidR="007777D9" w:rsidRDefault="007777D9">
      <w:pPr>
        <w:kinsoku w:val="0"/>
        <w:overflowPunct w:val="0"/>
        <w:autoSpaceDE/>
        <w:autoSpaceDN/>
        <w:adjustRightInd/>
        <w:spacing w:line="333" w:lineRule="exact"/>
        <w:textAlignment w:val="baseline"/>
        <w:rPr>
          <w:sz w:val="24"/>
          <w:szCs w:val="24"/>
          <w:lang w:eastAsia="en-US"/>
        </w:rPr>
      </w:pPr>
      <w:r>
        <w:rPr>
          <w:b/>
          <w:bCs/>
          <w:spacing w:val="-18"/>
          <w:sz w:val="26"/>
          <w:szCs w:val="26"/>
          <w:lang w:val="es-ES" w:eastAsia="es-ES"/>
        </w:rPr>
        <w:t>"ARTÍCULO ÚNICO.</w:t>
      </w:r>
      <w:r>
        <w:rPr>
          <w:b/>
          <w:bCs/>
          <w:spacing w:val="-18"/>
          <w:sz w:val="26"/>
          <w:szCs w:val="26"/>
          <w:lang w:val="es-ES" w:eastAsia="es-ES"/>
        </w:rPr>
        <w:noBreakHyphen/>
      </w:r>
    </w:p>
    <w:p w:rsidR="007777D9" w:rsidRDefault="007777D9">
      <w:pPr>
        <w:kinsoku w:val="0"/>
        <w:overflowPunct w:val="0"/>
        <w:autoSpaceDE/>
        <w:autoSpaceDN/>
        <w:adjustRightInd/>
        <w:spacing w:before="328" w:line="306" w:lineRule="exact"/>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 Vehículos en la Modalidad de Taxi, de 22 de diciembre de 1999, y sus reformas. El texto es el siguiente:</w:t>
      </w:r>
    </w:p>
    <w:p w:rsidR="007777D9" w:rsidRDefault="007777D9">
      <w:pPr>
        <w:kinsoku w:val="0"/>
        <w:overflowPunct w:val="0"/>
        <w:autoSpaceDE/>
        <w:autoSpaceDN/>
        <w:adjustRightInd/>
        <w:spacing w:before="309" w:line="306" w:lineRule="exact"/>
        <w:jc w:val="both"/>
        <w:textAlignment w:val="baseline"/>
        <w:rPr>
          <w:sz w:val="26"/>
          <w:szCs w:val="26"/>
          <w:lang w:val="es-ES" w:eastAsia="es-ES"/>
        </w:rPr>
      </w:pPr>
      <w:r>
        <w:rPr>
          <w:b/>
          <w:bCs/>
          <w:sz w:val="26"/>
          <w:szCs w:val="26"/>
          <w:lang w:val="es-ES" w:eastAsia="es-ES"/>
        </w:rPr>
        <w:t xml:space="preserve">"Artículo 42 bis.- </w:t>
      </w:r>
      <w:r>
        <w:rPr>
          <w:sz w:val="26"/>
          <w:szCs w:val="26"/>
          <w:lang w:val="es-ES" w:eastAsia="es-ES"/>
        </w:rPr>
        <w:t>Traspaso de beneficio de la concesión en el servicio público de taxi por muerte de la persona concesionaria.</w:t>
      </w:r>
    </w:p>
    <w:p w:rsidR="007777D9" w:rsidRDefault="007777D9">
      <w:pPr>
        <w:widowControl/>
        <w:rPr>
          <w:sz w:val="24"/>
          <w:szCs w:val="24"/>
        </w:rPr>
        <w:sectPr w:rsidR="007777D9">
          <w:type w:val="continuous"/>
          <w:pgSz w:w="12134" w:h="15840"/>
          <w:pgMar w:top="1420" w:right="2183" w:bottom="140" w:left="2251" w:header="720" w:footer="720" w:gutter="0"/>
          <w:cols w:space="720"/>
          <w:noEndnote/>
        </w:sectPr>
      </w:pPr>
    </w:p>
    <w:p w:rsidR="007777D9" w:rsidRDefault="007777D9">
      <w:pPr>
        <w:kinsoku w:val="0"/>
        <w:overflowPunct w:val="0"/>
        <w:autoSpaceDE/>
        <w:autoSpaceDN/>
        <w:adjustRightInd/>
        <w:spacing w:before="1" w:line="309" w:lineRule="exact"/>
        <w:jc w:val="both"/>
        <w:textAlignment w:val="baseline"/>
        <w:rPr>
          <w:spacing w:val="7"/>
          <w:sz w:val="26"/>
          <w:szCs w:val="26"/>
          <w:lang w:val="es-ES" w:eastAsia="es-ES"/>
        </w:rPr>
      </w:pPr>
      <w:r>
        <w:rPr>
          <w:spacing w:val="7"/>
          <w:sz w:val="26"/>
          <w:szCs w:val="26"/>
          <w:lang w:val="es-ES" w:eastAsia="es-ES"/>
        </w:rPr>
        <w:lastRenderedPageBreak/>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7777D9" w:rsidRDefault="007777D9">
      <w:pPr>
        <w:kinsoku w:val="0"/>
        <w:overflowPunct w:val="0"/>
        <w:autoSpaceDE/>
        <w:autoSpaceDN/>
        <w:adjustRightInd/>
        <w:spacing w:before="308" w:line="309" w:lineRule="exact"/>
        <w:jc w:val="both"/>
        <w:textAlignment w:val="baseline"/>
        <w:rPr>
          <w:spacing w:val="8"/>
          <w:sz w:val="26"/>
          <w:szCs w:val="26"/>
          <w:lang w:val="es-ES" w:eastAsia="es-ES"/>
        </w:rPr>
      </w:pPr>
      <w:r>
        <w:rPr>
          <w:spacing w:val="8"/>
          <w:sz w:val="26"/>
          <w:szCs w:val="26"/>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7777D9" w:rsidRDefault="007777D9">
      <w:pPr>
        <w:kinsoku w:val="0"/>
        <w:overflowPunct w:val="0"/>
        <w:autoSpaceDE/>
        <w:autoSpaceDN/>
        <w:adjustRightInd/>
        <w:spacing w:before="308" w:line="309" w:lineRule="exact"/>
        <w:jc w:val="both"/>
        <w:textAlignment w:val="baseline"/>
        <w:rPr>
          <w:spacing w:val="7"/>
          <w:sz w:val="26"/>
          <w:szCs w:val="26"/>
          <w:lang w:val="es-ES" w:eastAsia="es-ES"/>
        </w:rPr>
      </w:pPr>
      <w:r>
        <w:rPr>
          <w:spacing w:val="7"/>
          <w:sz w:val="26"/>
          <w:szCs w:val="26"/>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7777D9" w:rsidRDefault="007777D9">
      <w:pPr>
        <w:kinsoku w:val="0"/>
        <w:overflowPunct w:val="0"/>
        <w:autoSpaceDE/>
        <w:autoSpaceDN/>
        <w:adjustRightInd/>
        <w:spacing w:before="321" w:line="309" w:lineRule="exact"/>
        <w:jc w:val="both"/>
        <w:textAlignment w:val="baseline"/>
        <w:rPr>
          <w:spacing w:val="12"/>
          <w:sz w:val="26"/>
          <w:szCs w:val="26"/>
          <w:lang w:val="es-ES" w:eastAsia="es-ES"/>
        </w:rPr>
      </w:pPr>
      <w:r>
        <w:rPr>
          <w:spacing w:val="12"/>
          <w:sz w:val="26"/>
          <w:szCs w:val="26"/>
          <w:lang w:val="es-ES" w:eastAsia="es-ES"/>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w:t>
      </w:r>
    </w:p>
    <w:p w:rsidR="007777D9" w:rsidRDefault="007777D9">
      <w:pPr>
        <w:widowControl/>
        <w:rPr>
          <w:sz w:val="24"/>
          <w:szCs w:val="24"/>
        </w:rPr>
        <w:sectPr w:rsidR="007777D9">
          <w:pgSz w:w="12134" w:h="15840"/>
          <w:pgMar w:top="1740" w:right="2162" w:bottom="751" w:left="2232" w:header="720" w:footer="720" w:gutter="0"/>
          <w:cols w:space="720"/>
          <w:noEndnote/>
        </w:sectPr>
      </w:pPr>
    </w:p>
    <w:p w:rsidR="007777D9" w:rsidRDefault="007777D9">
      <w:pPr>
        <w:kinsoku w:val="0"/>
        <w:overflowPunct w:val="0"/>
        <w:autoSpaceDE/>
        <w:autoSpaceDN/>
        <w:adjustRightInd/>
        <w:spacing w:before="7" w:line="311" w:lineRule="exact"/>
        <w:ind w:left="648" w:right="72"/>
        <w:jc w:val="both"/>
        <w:textAlignment w:val="baseline"/>
        <w:rPr>
          <w:spacing w:val="41"/>
          <w:sz w:val="26"/>
          <w:szCs w:val="26"/>
          <w:lang w:val="es-ES" w:eastAsia="es-ES"/>
        </w:rPr>
      </w:pPr>
      <w:r>
        <w:rPr>
          <w:spacing w:val="41"/>
          <w:sz w:val="26"/>
          <w:szCs w:val="26"/>
          <w:lang w:val="es-ES" w:eastAsia="es-ES"/>
        </w:rPr>
        <w:lastRenderedPageBreak/>
        <w:t>persona beneficiaria, titular y suplente, se cancelará</w:t>
      </w:r>
    </w:p>
    <w:p w:rsidR="007777D9" w:rsidRDefault="007777D9">
      <w:pPr>
        <w:tabs>
          <w:tab w:val="left" w:pos="3672"/>
          <w:tab w:val="left" w:pos="4968"/>
          <w:tab w:val="left" w:pos="7128"/>
        </w:tabs>
        <w:kinsoku w:val="0"/>
        <w:overflowPunct w:val="0"/>
        <w:autoSpaceDE/>
        <w:autoSpaceDN/>
        <w:adjustRightInd/>
        <w:spacing w:line="302" w:lineRule="exact"/>
        <w:ind w:left="648" w:right="72"/>
        <w:jc w:val="both"/>
        <w:textAlignment w:val="baseline"/>
        <w:rPr>
          <w:spacing w:val="1"/>
          <w:sz w:val="26"/>
          <w:szCs w:val="26"/>
          <w:lang w:val="es-ES" w:eastAsia="es-ES"/>
        </w:rPr>
      </w:pPr>
      <w:r>
        <w:rPr>
          <w:spacing w:val="1"/>
          <w:sz w:val="26"/>
          <w:szCs w:val="26"/>
          <w:lang w:val="es-ES" w:eastAsia="es-ES"/>
        </w:rPr>
        <w:t>automáticamente</w:t>
      </w:r>
      <w:r>
        <w:rPr>
          <w:spacing w:val="1"/>
          <w:sz w:val="26"/>
          <w:szCs w:val="26"/>
          <w:lang w:val="es-ES" w:eastAsia="es-ES"/>
        </w:rPr>
        <w:tab/>
        <w:t>la</w:t>
      </w:r>
      <w:r>
        <w:rPr>
          <w:spacing w:val="1"/>
          <w:sz w:val="26"/>
          <w:szCs w:val="26"/>
          <w:lang w:val="es-ES" w:eastAsia="es-ES"/>
        </w:rPr>
        <w:tab/>
        <w:t>concesión</w:t>
      </w:r>
      <w:r>
        <w:rPr>
          <w:spacing w:val="1"/>
          <w:sz w:val="26"/>
          <w:szCs w:val="26"/>
          <w:lang w:val="es-ES" w:eastAsia="es-ES"/>
        </w:rPr>
        <w:tab/>
        <w:t>otorgada."</w:t>
      </w:r>
    </w:p>
    <w:p w:rsidR="007777D9" w:rsidRDefault="007777D9">
      <w:pPr>
        <w:kinsoku w:val="0"/>
        <w:overflowPunct w:val="0"/>
        <w:autoSpaceDE/>
        <w:autoSpaceDN/>
        <w:adjustRightInd/>
        <w:spacing w:before="303" w:line="313" w:lineRule="exact"/>
        <w:ind w:left="648" w:right="72"/>
        <w:textAlignment w:val="baseline"/>
        <w:rPr>
          <w:sz w:val="24"/>
          <w:szCs w:val="24"/>
          <w:lang w:eastAsia="en-US"/>
        </w:rPr>
      </w:pPr>
      <w:r>
        <w:rPr>
          <w:b/>
          <w:bCs/>
          <w:spacing w:val="-12"/>
          <w:sz w:val="26"/>
          <w:szCs w:val="26"/>
          <w:lang w:val="es-ES" w:eastAsia="es-ES"/>
        </w:rPr>
        <w:t>TRANSITORIO.</w:t>
      </w:r>
      <w:r>
        <w:rPr>
          <w:b/>
          <w:bCs/>
          <w:spacing w:val="-12"/>
          <w:sz w:val="26"/>
          <w:szCs w:val="26"/>
          <w:lang w:val="es-ES" w:eastAsia="es-ES"/>
        </w:rPr>
        <w:noBreakHyphen/>
      </w:r>
    </w:p>
    <w:p w:rsidR="007777D9" w:rsidRDefault="007777D9">
      <w:pPr>
        <w:kinsoku w:val="0"/>
        <w:overflowPunct w:val="0"/>
        <w:autoSpaceDE/>
        <w:autoSpaceDN/>
        <w:adjustRightInd/>
        <w:spacing w:before="168" w:line="313" w:lineRule="exact"/>
        <w:ind w:left="648" w:right="720"/>
        <w:jc w:val="both"/>
        <w:textAlignment w:val="baseline"/>
        <w:rPr>
          <w:b/>
          <w:bCs/>
          <w:spacing w:val="9"/>
          <w:sz w:val="26"/>
          <w:szCs w:val="26"/>
          <w:lang w:val="es-ES" w:eastAsia="es-ES"/>
        </w:rPr>
      </w:pPr>
      <w:r>
        <w:rPr>
          <w:b/>
          <w:bCs/>
          <w:spacing w:val="9"/>
          <w:sz w:val="26"/>
          <w:szCs w:val="26"/>
          <w:lang w:val="es-ES" w:eastAsia="es-ES"/>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7777D9" w:rsidRDefault="007777D9">
      <w:pPr>
        <w:kinsoku w:val="0"/>
        <w:overflowPunct w:val="0"/>
        <w:autoSpaceDE/>
        <w:autoSpaceDN/>
        <w:adjustRightInd/>
        <w:spacing w:before="493" w:line="311" w:lineRule="exact"/>
        <w:ind w:left="72" w:right="72"/>
        <w:jc w:val="both"/>
        <w:textAlignment w:val="baseline"/>
        <w:rPr>
          <w:b/>
          <w:bCs/>
          <w:sz w:val="26"/>
          <w:szCs w:val="26"/>
          <w:u w:val="single"/>
          <w:lang w:val="es-ES" w:eastAsia="es-ES"/>
        </w:rPr>
      </w:pPr>
      <w:r>
        <w:rPr>
          <w:sz w:val="26"/>
          <w:szCs w:val="26"/>
          <w:lang w:val="es-ES" w:eastAsia="es-ES"/>
        </w:rPr>
        <w:t xml:space="preserve">Definiéndose así, por una parte, mediante su TRANSITORIO ÚNICO citado la Subsistencia y Posibilidad de Aprobación de las gestiones de Transmisibilidad de derechos por muerte de la Persona Concesionaria en el Servicio Público de Taxis, </w:t>
      </w:r>
      <w:r>
        <w:rPr>
          <w:b/>
          <w:bCs/>
          <w:sz w:val="26"/>
          <w:szCs w:val="26"/>
          <w:u w:val="single"/>
          <w:lang w:val="es-ES" w:eastAsia="es-ES"/>
        </w:rPr>
        <w:t>acaecidas antes de la promulgación de la misma.</w:t>
      </w:r>
    </w:p>
    <w:p w:rsidR="007777D9" w:rsidRDefault="007777D9">
      <w:pPr>
        <w:kinsoku w:val="0"/>
        <w:overflowPunct w:val="0"/>
        <w:autoSpaceDE/>
        <w:autoSpaceDN/>
        <w:adjustRightInd/>
        <w:spacing w:before="303" w:line="319" w:lineRule="exact"/>
        <w:ind w:left="72" w:right="72"/>
        <w:jc w:val="both"/>
        <w:textAlignment w:val="baseline"/>
        <w:rPr>
          <w:i/>
          <w:iCs/>
          <w:sz w:val="26"/>
          <w:szCs w:val="26"/>
          <w:lang w:val="es-ES" w:eastAsia="es-ES"/>
        </w:rPr>
      </w:pPr>
      <w:r>
        <w:rPr>
          <w:sz w:val="26"/>
          <w:szCs w:val="26"/>
          <w:lang w:val="es-ES" w:eastAsia="es-ES"/>
        </w:rPr>
        <w:t xml:space="preserve">Siendo este el punto de Relevancia en cuanto el presente caso y a varios más de condiciones equivalentes o similares. </w:t>
      </w:r>
      <w:r>
        <w:rPr>
          <w:i/>
          <w:iCs/>
          <w:sz w:val="26"/>
          <w:szCs w:val="26"/>
          <w:lang w:val="es-ES" w:eastAsia="es-ES"/>
        </w:rPr>
        <w:t>Veamos:</w:t>
      </w:r>
    </w:p>
    <w:p w:rsidR="007777D9" w:rsidRDefault="007777D9">
      <w:pPr>
        <w:kinsoku w:val="0"/>
        <w:overflowPunct w:val="0"/>
        <w:autoSpaceDE/>
        <w:autoSpaceDN/>
        <w:adjustRightInd/>
        <w:spacing w:before="279" w:line="312" w:lineRule="exact"/>
        <w:ind w:left="72" w:right="72"/>
        <w:jc w:val="both"/>
        <w:textAlignment w:val="baseline"/>
        <w:rPr>
          <w:b/>
          <w:bCs/>
          <w:spacing w:val="8"/>
          <w:sz w:val="26"/>
          <w:szCs w:val="26"/>
          <w:u w:val="single"/>
          <w:lang w:val="es-ES" w:eastAsia="es-ES"/>
        </w:rPr>
      </w:pPr>
      <w:r>
        <w:rPr>
          <w:spacing w:val="8"/>
          <w:sz w:val="26"/>
          <w:szCs w:val="26"/>
          <w:lang w:val="es-ES" w:eastAsia="es-ES"/>
        </w:rPr>
        <w:t xml:space="preserve">Como se colige de la Exposición de Motivos y de las Actas de Discusión del Proyecto de Ley que culminara con la Promulgación de la Ley No. 9027, con la misma se buscaba no solo definir un esquema </w:t>
      </w:r>
      <w:r>
        <w:rPr>
          <w:i/>
          <w:iCs/>
          <w:spacing w:val="8"/>
          <w:sz w:val="26"/>
          <w:szCs w:val="26"/>
          <w:lang w:val="es-ES" w:eastAsia="es-ES"/>
        </w:rPr>
        <w:t xml:space="preserve">-a futuro- </w:t>
      </w:r>
      <w:r>
        <w:rPr>
          <w:spacing w:val="8"/>
          <w:sz w:val="26"/>
          <w:szCs w:val="26"/>
          <w:lang w:val="es-ES" w:eastAsia="es-ES"/>
        </w:rPr>
        <w:t xml:space="preserve">para facilitar y facultar el Traspaso de las Concesiones de Taxi en situaciones de Muerte del Concesionario Titular; </w:t>
      </w:r>
      <w:r>
        <w:rPr>
          <w:b/>
          <w:bCs/>
          <w:spacing w:val="8"/>
          <w:sz w:val="26"/>
          <w:szCs w:val="26"/>
          <w:lang w:val="es-ES" w:eastAsia="es-ES"/>
        </w:rPr>
        <w:t xml:space="preserve">sino que también se determina una Solución Transitoria en cuanto a las Múltiples Gestiones, Solicitudes o Traspasos de Concesiones de Taxi por Causa de Muerte </w:t>
      </w:r>
      <w:r>
        <w:rPr>
          <w:b/>
          <w:bCs/>
          <w:i/>
          <w:iCs/>
          <w:spacing w:val="8"/>
          <w:sz w:val="26"/>
          <w:szCs w:val="26"/>
          <w:lang w:val="es-ES" w:eastAsia="es-ES"/>
        </w:rPr>
        <w:t xml:space="preserve">(Mortis Cusa) </w:t>
      </w:r>
      <w:r>
        <w:rPr>
          <w:b/>
          <w:bCs/>
          <w:spacing w:val="8"/>
          <w:sz w:val="26"/>
          <w:szCs w:val="26"/>
          <w:lang w:val="es-ES" w:eastAsia="es-ES"/>
        </w:rPr>
        <w:t xml:space="preserve">que estaban Pendientes de Resolución antes de la emisión de la Ley No. 9027 </w:t>
      </w:r>
      <w:r>
        <w:rPr>
          <w:b/>
          <w:bCs/>
          <w:i/>
          <w:iCs/>
          <w:spacing w:val="8"/>
          <w:sz w:val="26"/>
          <w:szCs w:val="26"/>
          <w:lang w:val="es-ES" w:eastAsia="es-ES"/>
        </w:rPr>
        <w:t xml:space="preserve">(el 28 de Febrero del 2012) </w:t>
      </w:r>
      <w:r>
        <w:rPr>
          <w:b/>
          <w:bCs/>
          <w:spacing w:val="8"/>
          <w:sz w:val="26"/>
          <w:szCs w:val="26"/>
          <w:lang w:val="es-ES" w:eastAsia="es-ES"/>
        </w:rPr>
        <w:t xml:space="preserve">y/o que se Gestionaran dentro del Plazo de 90 días a que él mismo alude (TRANSITORIO ÚNICO). </w:t>
      </w:r>
      <w:r>
        <w:rPr>
          <w:b/>
          <w:bCs/>
          <w:spacing w:val="8"/>
          <w:sz w:val="26"/>
          <w:szCs w:val="26"/>
          <w:u w:val="single"/>
          <w:lang w:val="es-ES" w:eastAsia="es-ES"/>
        </w:rPr>
        <w:t>Siendo este segundo punto el que se aborda en este Caso.</w:t>
      </w:r>
    </w:p>
    <w:p w:rsidR="007777D9" w:rsidRDefault="007777D9">
      <w:pPr>
        <w:kinsoku w:val="0"/>
        <w:overflowPunct w:val="0"/>
        <w:autoSpaceDE/>
        <w:autoSpaceDN/>
        <w:adjustRightInd/>
        <w:spacing w:before="296" w:line="311" w:lineRule="exact"/>
        <w:ind w:left="72" w:right="72"/>
        <w:jc w:val="both"/>
        <w:textAlignment w:val="baseline"/>
        <w:rPr>
          <w:sz w:val="26"/>
          <w:szCs w:val="26"/>
          <w:lang w:val="es-ES" w:eastAsia="es-ES"/>
        </w:rPr>
      </w:pPr>
      <w:r>
        <w:rPr>
          <w:sz w:val="26"/>
          <w:szCs w:val="26"/>
          <w:lang w:val="es-ES" w:eastAsia="es-ES"/>
        </w:rPr>
        <w:t>Según lo valorado, una Solicitud Precedente a la Promulgación de la Ley No. 9027, presentada por la Recurrente, ha sido RECHAZADA por el Consejo de Transporte Público; estimándose para ello que no cumplió en tiempo y/o forma con los REQUISITOS que se le previnieron en su oportunidad.</w:t>
      </w:r>
    </w:p>
    <w:p w:rsidR="007777D9" w:rsidRDefault="007777D9">
      <w:pPr>
        <w:widowControl/>
        <w:rPr>
          <w:sz w:val="24"/>
          <w:szCs w:val="24"/>
        </w:rPr>
        <w:sectPr w:rsidR="007777D9">
          <w:pgSz w:w="12134" w:h="15840"/>
          <w:pgMar w:top="1417" w:right="1453" w:bottom="977" w:left="1641" w:header="720" w:footer="720" w:gutter="0"/>
          <w:cols w:space="720"/>
          <w:noEndnote/>
        </w:sectPr>
      </w:pPr>
    </w:p>
    <w:p w:rsidR="007777D9" w:rsidRDefault="007777D9">
      <w:pPr>
        <w:kinsoku w:val="0"/>
        <w:overflowPunct w:val="0"/>
        <w:autoSpaceDE/>
        <w:autoSpaceDN/>
        <w:adjustRightInd/>
        <w:spacing w:line="309" w:lineRule="exact"/>
        <w:ind w:left="72" w:right="576"/>
        <w:jc w:val="both"/>
        <w:textAlignment w:val="baseline"/>
        <w:rPr>
          <w:i/>
          <w:iCs/>
          <w:sz w:val="26"/>
          <w:szCs w:val="26"/>
          <w:lang w:val="es-ES" w:eastAsia="es-ES"/>
        </w:rPr>
      </w:pPr>
      <w:r>
        <w:rPr>
          <w:sz w:val="26"/>
          <w:szCs w:val="26"/>
          <w:lang w:val="es-ES" w:eastAsia="es-ES"/>
        </w:rPr>
        <w:lastRenderedPageBreak/>
        <w:t xml:space="preserve">Siendo de nuestra estima por las TRES RAZONES que se desarrollan </w:t>
      </w:r>
      <w:r>
        <w:rPr>
          <w:i/>
          <w:iCs/>
          <w:sz w:val="26"/>
          <w:szCs w:val="26"/>
          <w:lang w:val="es-ES" w:eastAsia="es-ES"/>
        </w:rPr>
        <w:t xml:space="preserve">infra, </w:t>
      </w:r>
      <w:r>
        <w:rPr>
          <w:sz w:val="26"/>
          <w:szCs w:val="26"/>
          <w:lang w:val="es-ES" w:eastAsia="es-ES"/>
        </w:rPr>
        <w:t xml:space="preserve">que lo Actuado en este Caso es NULO y así Debe Ser Declarado. </w:t>
      </w:r>
      <w:r>
        <w:rPr>
          <w:i/>
          <w:iCs/>
          <w:sz w:val="26"/>
          <w:szCs w:val="26"/>
          <w:lang w:val="es-ES" w:eastAsia="es-ES"/>
        </w:rPr>
        <w:t>Notemos:</w:t>
      </w:r>
    </w:p>
    <w:p w:rsidR="007777D9" w:rsidRDefault="007777D9">
      <w:pPr>
        <w:tabs>
          <w:tab w:val="left" w:pos="792"/>
        </w:tabs>
        <w:kinsoku w:val="0"/>
        <w:overflowPunct w:val="0"/>
        <w:autoSpaceDE/>
        <w:autoSpaceDN/>
        <w:adjustRightInd/>
        <w:spacing w:before="325" w:line="309" w:lineRule="exact"/>
        <w:ind w:left="72" w:right="576"/>
        <w:jc w:val="both"/>
        <w:textAlignment w:val="baseline"/>
        <w:rPr>
          <w:spacing w:val="6"/>
          <w:sz w:val="26"/>
          <w:szCs w:val="26"/>
          <w:lang w:val="es-ES" w:eastAsia="es-ES"/>
        </w:rPr>
      </w:pPr>
      <w:r>
        <w:rPr>
          <w:b/>
          <w:bCs/>
          <w:i/>
          <w:iCs/>
          <w:spacing w:val="6"/>
          <w:sz w:val="26"/>
          <w:szCs w:val="26"/>
          <w:lang w:val="es-ES" w:eastAsia="es-ES"/>
        </w:rPr>
        <w:t>1.-</w:t>
      </w:r>
      <w:r>
        <w:rPr>
          <w:b/>
          <w:bCs/>
          <w:i/>
          <w:iCs/>
          <w:spacing w:val="6"/>
          <w:sz w:val="26"/>
          <w:szCs w:val="26"/>
          <w:lang w:val="es-ES" w:eastAsia="es-ES"/>
        </w:rPr>
        <w:tab/>
      </w:r>
      <w:r>
        <w:rPr>
          <w:spacing w:val="6"/>
          <w:sz w:val="26"/>
          <w:szCs w:val="26"/>
          <w:lang w:val="es-ES" w:eastAsia="es-ES"/>
        </w:rPr>
        <w:t xml:space="preserve">Primeramente se determina un Vicio en cuanto al Fundamento/Motivo y en cuanto al Contenido de los Requisitos Valorados. Lo anterior en virtud de que como bien lo señala el Oficio No. DAJ-2015002234 del 02 de Julio del 2015, de la Dirección de Asuntos Jurídicos del Consejo de Transporte Público, </w:t>
      </w:r>
      <w:r>
        <w:rPr>
          <w:b/>
          <w:bCs/>
          <w:spacing w:val="6"/>
          <w:sz w:val="26"/>
          <w:szCs w:val="26"/>
          <w:lang w:val="es-ES" w:eastAsia="es-ES"/>
        </w:rPr>
        <w:t xml:space="preserve">SE RECONOCE EXPRESAMENTE que Tales Requisitos No Fueron Aprobados ni Autorizados por la Junta Directiva del Consejo de Transporte Público. </w:t>
      </w:r>
      <w:r w:rsidRPr="00D50F21">
        <w:rPr>
          <w:spacing w:val="6"/>
          <w:sz w:val="26"/>
          <w:szCs w:val="26"/>
          <w:lang w:val="es-ES" w:eastAsia="es-ES"/>
        </w:rPr>
        <w:t xml:space="preserve">Siendo del todo </w:t>
      </w:r>
      <w:r w:rsidRPr="00D50F21">
        <w:rPr>
          <w:bCs/>
          <w:spacing w:val="6"/>
          <w:sz w:val="26"/>
          <w:szCs w:val="26"/>
          <w:lang w:val="es-ES" w:eastAsia="es-ES"/>
        </w:rPr>
        <w:t xml:space="preserve">inconcebible e </w:t>
      </w:r>
      <w:r w:rsidRPr="00D50F21">
        <w:rPr>
          <w:spacing w:val="6"/>
          <w:sz w:val="26"/>
          <w:szCs w:val="26"/>
          <w:lang w:val="es-ES" w:eastAsia="es-ES"/>
        </w:rPr>
        <w:t xml:space="preserve">improcedente que de Propia Voluntad, de Mutuo Propio, los Órganos Asesores y NO DECISORES </w:t>
      </w:r>
      <w:r w:rsidRPr="00D50F21">
        <w:rPr>
          <w:bCs/>
          <w:spacing w:val="6"/>
          <w:sz w:val="26"/>
          <w:szCs w:val="26"/>
          <w:lang w:val="es-ES" w:eastAsia="es-ES"/>
        </w:rPr>
        <w:t xml:space="preserve">del </w:t>
      </w:r>
      <w:r w:rsidRPr="00D50F21">
        <w:rPr>
          <w:spacing w:val="6"/>
          <w:sz w:val="26"/>
          <w:szCs w:val="26"/>
          <w:lang w:val="es-ES" w:eastAsia="es-ES"/>
        </w:rPr>
        <w:t xml:space="preserve">Consejo de Transporte Público vengan a </w:t>
      </w:r>
      <w:r w:rsidRPr="00D50F21">
        <w:rPr>
          <w:bCs/>
          <w:spacing w:val="6"/>
          <w:sz w:val="26"/>
          <w:szCs w:val="26"/>
          <w:lang w:val="es-ES" w:eastAsia="es-ES"/>
        </w:rPr>
        <w:t xml:space="preserve">determinar </w:t>
      </w:r>
      <w:r w:rsidRPr="00D50F21">
        <w:rPr>
          <w:spacing w:val="6"/>
          <w:sz w:val="26"/>
          <w:szCs w:val="26"/>
          <w:lang w:val="es-ES" w:eastAsia="es-ES"/>
        </w:rPr>
        <w:t xml:space="preserve">los Requisitos de Valoración para un Asunto tan Importante como </w:t>
      </w:r>
      <w:r w:rsidRPr="00D50F21">
        <w:rPr>
          <w:bCs/>
          <w:spacing w:val="6"/>
          <w:sz w:val="26"/>
          <w:szCs w:val="26"/>
          <w:lang w:val="es-ES" w:eastAsia="es-ES"/>
        </w:rPr>
        <w:t xml:space="preserve">el que </w:t>
      </w:r>
      <w:r w:rsidRPr="00D50F21">
        <w:rPr>
          <w:spacing w:val="6"/>
          <w:sz w:val="26"/>
          <w:szCs w:val="26"/>
          <w:lang w:val="es-ES" w:eastAsia="es-ES"/>
        </w:rPr>
        <w:t xml:space="preserve">nos Ocupa </w:t>
      </w:r>
      <w:r w:rsidRPr="00D50F21">
        <w:rPr>
          <w:i/>
          <w:iCs/>
          <w:spacing w:val="6"/>
          <w:sz w:val="26"/>
          <w:szCs w:val="26"/>
          <w:lang w:val="es-ES" w:eastAsia="es-ES"/>
        </w:rPr>
        <w:t xml:space="preserve">(Traspaso de Concesiones de Taxi Mortis Causa), </w:t>
      </w:r>
      <w:r w:rsidRPr="00D50F21">
        <w:rPr>
          <w:spacing w:val="6"/>
          <w:sz w:val="26"/>
          <w:szCs w:val="26"/>
          <w:lang w:val="es-ES" w:eastAsia="es-ES"/>
        </w:rPr>
        <w:t xml:space="preserve">sin la ANUENCIA, APROBACIÓN y/o AUTORIZACIÓN de la Junta Directiva del referido Consejo </w:t>
      </w:r>
      <w:r w:rsidRPr="00D50F21">
        <w:rPr>
          <w:i/>
          <w:iCs/>
          <w:spacing w:val="6"/>
          <w:sz w:val="26"/>
          <w:szCs w:val="26"/>
          <w:lang w:val="es-ES" w:eastAsia="es-ES"/>
        </w:rPr>
        <w:t xml:space="preserve">(único órgano en el ámbito del mismo con Potestad Decisoria). </w:t>
      </w:r>
      <w:r w:rsidRPr="00D50F21">
        <w:rPr>
          <w:spacing w:val="6"/>
          <w:sz w:val="26"/>
          <w:szCs w:val="26"/>
          <w:lang w:val="es-ES" w:eastAsia="es-ES"/>
        </w:rPr>
        <w:t xml:space="preserve">Y aunque varios de los Requisitos referidos están determinados en Leyes </w:t>
      </w:r>
      <w:r w:rsidRPr="00D50F21">
        <w:rPr>
          <w:i/>
          <w:iCs/>
          <w:spacing w:val="6"/>
          <w:sz w:val="26"/>
          <w:szCs w:val="26"/>
          <w:lang w:val="es-ES" w:eastAsia="es-ES"/>
        </w:rPr>
        <w:t xml:space="preserve">(sentido formal), </w:t>
      </w:r>
      <w:r w:rsidRPr="00D50F21">
        <w:rPr>
          <w:spacing w:val="6"/>
          <w:sz w:val="26"/>
          <w:szCs w:val="26"/>
          <w:lang w:val="es-ES" w:eastAsia="es-ES"/>
        </w:rPr>
        <w:t xml:space="preserve">lo cierto es que en cuanto a algunos de ellos la Junta </w:t>
      </w:r>
      <w:r w:rsidRPr="00D50F21">
        <w:rPr>
          <w:bCs/>
          <w:spacing w:val="6"/>
          <w:sz w:val="26"/>
          <w:szCs w:val="26"/>
          <w:lang w:val="es-ES" w:eastAsia="es-ES"/>
        </w:rPr>
        <w:t xml:space="preserve">Directiva </w:t>
      </w:r>
      <w:r w:rsidRPr="00D50F21">
        <w:rPr>
          <w:spacing w:val="6"/>
          <w:sz w:val="26"/>
          <w:szCs w:val="26"/>
          <w:lang w:val="es-ES" w:eastAsia="es-ES"/>
        </w:rPr>
        <w:t xml:space="preserve">presenta Potestades para su eximencia; así como potestades para su dimensionamiento. Las cuales le fueron suprimidas, toda vez que los Requisitos aludidos NO FUERON SOMETIDOS A SU </w:t>
      </w:r>
      <w:r w:rsidRPr="00D50F21">
        <w:rPr>
          <w:bCs/>
          <w:spacing w:val="6"/>
          <w:sz w:val="26"/>
          <w:szCs w:val="26"/>
          <w:lang w:val="es-ES" w:eastAsia="es-ES"/>
        </w:rPr>
        <w:t xml:space="preserve">CONSIDERACIÓN. Amén de </w:t>
      </w:r>
      <w:r w:rsidRPr="00D50F21">
        <w:rPr>
          <w:spacing w:val="6"/>
          <w:sz w:val="26"/>
          <w:szCs w:val="26"/>
          <w:lang w:val="es-ES" w:eastAsia="es-ES"/>
        </w:rPr>
        <w:t xml:space="preserve">que la Ley No. 9027 determina que las Viudas Gestionantes y </w:t>
      </w:r>
      <w:r w:rsidRPr="00D50F21">
        <w:rPr>
          <w:bCs/>
          <w:spacing w:val="6"/>
          <w:sz w:val="26"/>
          <w:szCs w:val="26"/>
          <w:lang w:val="es-ES" w:eastAsia="es-ES"/>
        </w:rPr>
        <w:t xml:space="preserve">Beneficiarios </w:t>
      </w:r>
      <w:r w:rsidRPr="00D50F21">
        <w:rPr>
          <w:spacing w:val="6"/>
          <w:sz w:val="26"/>
          <w:szCs w:val="26"/>
          <w:lang w:val="es-ES" w:eastAsia="es-ES"/>
        </w:rPr>
        <w:t xml:space="preserve">ubicables dentro de los supuestos del numeral 49 de la Ley No. 7969, </w:t>
      </w:r>
      <w:r w:rsidRPr="00D50F21">
        <w:rPr>
          <w:bCs/>
          <w:spacing w:val="6"/>
          <w:sz w:val="26"/>
          <w:szCs w:val="26"/>
          <w:lang w:val="es-ES" w:eastAsia="es-ES"/>
        </w:rPr>
        <w:t xml:space="preserve">están EXENTAS </w:t>
      </w:r>
      <w:r w:rsidRPr="00D50F21">
        <w:rPr>
          <w:spacing w:val="6"/>
          <w:sz w:val="26"/>
          <w:szCs w:val="26"/>
          <w:lang w:val="es-ES" w:eastAsia="es-ES"/>
        </w:rPr>
        <w:t>de</w:t>
      </w:r>
      <w:r>
        <w:rPr>
          <w:spacing w:val="6"/>
          <w:sz w:val="26"/>
          <w:szCs w:val="26"/>
          <w:lang w:val="es-ES" w:eastAsia="es-ES"/>
        </w:rPr>
        <w:t xml:space="preserve"> ciertos de los Requisitos que se han requerido.</w:t>
      </w:r>
    </w:p>
    <w:p w:rsidR="007777D9" w:rsidRDefault="007777D9">
      <w:pPr>
        <w:kinsoku w:val="0"/>
        <w:overflowPunct w:val="0"/>
        <w:autoSpaceDE/>
        <w:autoSpaceDN/>
        <w:adjustRightInd/>
        <w:spacing w:before="404" w:after="235" w:line="304" w:lineRule="exact"/>
        <w:ind w:left="72" w:right="576"/>
        <w:jc w:val="both"/>
        <w:textAlignment w:val="baseline"/>
        <w:rPr>
          <w:b/>
          <w:bCs/>
          <w:i/>
          <w:iCs/>
          <w:spacing w:val="4"/>
          <w:sz w:val="26"/>
          <w:szCs w:val="26"/>
          <w:lang w:val="es-ES" w:eastAsia="es-ES"/>
        </w:rPr>
      </w:pPr>
      <w:r>
        <w:rPr>
          <w:spacing w:val="4"/>
          <w:sz w:val="26"/>
          <w:szCs w:val="26"/>
          <w:lang w:val="es-ES" w:eastAsia="es-ES"/>
        </w:rPr>
        <w:t xml:space="preserve">Particularmente </w:t>
      </w:r>
      <w:r>
        <w:rPr>
          <w:b/>
          <w:bCs/>
          <w:spacing w:val="4"/>
          <w:sz w:val="26"/>
          <w:szCs w:val="26"/>
          <w:lang w:val="es-ES" w:eastAsia="es-ES"/>
        </w:rPr>
        <w:t xml:space="preserve">en lo atinente </w:t>
      </w:r>
      <w:r>
        <w:rPr>
          <w:spacing w:val="4"/>
          <w:sz w:val="26"/>
          <w:szCs w:val="26"/>
          <w:lang w:val="es-ES" w:eastAsia="es-ES"/>
        </w:rPr>
        <w:t xml:space="preserve">a los Requisitos Relativos a </w:t>
      </w:r>
      <w:r>
        <w:rPr>
          <w:b/>
          <w:bCs/>
          <w:i/>
          <w:iCs/>
          <w:spacing w:val="4"/>
          <w:sz w:val="26"/>
          <w:szCs w:val="26"/>
          <w:lang w:val="es-ES" w:eastAsia="es-ES"/>
        </w:rPr>
        <w:t xml:space="preserve">"Herencias, Sucesiones y/o Albaceazgos" </w:t>
      </w:r>
      <w:r>
        <w:rPr>
          <w:spacing w:val="4"/>
          <w:sz w:val="26"/>
          <w:szCs w:val="26"/>
          <w:lang w:val="es-ES" w:eastAsia="es-ES"/>
        </w:rPr>
        <w:t xml:space="preserve">en cuanto a Concesiones vale dejar en claro que en la Materia que nos Ocupa, las Concesiones de Taxi son una Autorización Estatal a favor de un Particular/Tercero, en el cual se Deposita la Posibilidad de Brindar por el </w:t>
      </w:r>
      <w:r>
        <w:rPr>
          <w:b/>
          <w:bCs/>
          <w:spacing w:val="4"/>
          <w:sz w:val="26"/>
          <w:szCs w:val="26"/>
          <w:lang w:val="es-ES" w:eastAsia="es-ES"/>
        </w:rPr>
        <w:t xml:space="preserve">Estado un Servicio Público. Siendo claro que esa Autorización o Derecho NO ES PARTE DEL PATRIMONIO DEL CONCESIONARIO AUTORIZADO. Ni de los Derechos que éste Comprendería. </w:t>
      </w:r>
      <w:r>
        <w:rPr>
          <w:spacing w:val="4"/>
          <w:sz w:val="26"/>
          <w:szCs w:val="26"/>
          <w:lang w:val="es-ES" w:eastAsia="es-ES"/>
        </w:rPr>
        <w:t xml:space="preserve">Es más, las Concesiones </w:t>
      </w:r>
      <w:r>
        <w:rPr>
          <w:i/>
          <w:iCs/>
          <w:spacing w:val="4"/>
          <w:sz w:val="26"/>
          <w:szCs w:val="26"/>
          <w:lang w:val="es-ES" w:eastAsia="es-ES"/>
        </w:rPr>
        <w:t xml:space="preserve">-en sí- </w:t>
      </w:r>
      <w:r>
        <w:rPr>
          <w:spacing w:val="4"/>
          <w:sz w:val="26"/>
          <w:szCs w:val="26"/>
          <w:lang w:val="es-ES" w:eastAsia="es-ES"/>
        </w:rPr>
        <w:t xml:space="preserve">son Derechos Fuera del Comercio de los Hombres. Son un Derecho Personal </w:t>
      </w:r>
      <w:r>
        <w:rPr>
          <w:i/>
          <w:iCs/>
          <w:spacing w:val="4"/>
          <w:sz w:val="26"/>
          <w:szCs w:val="26"/>
          <w:lang w:val="es-ES" w:eastAsia="es-ES"/>
        </w:rPr>
        <w:t xml:space="preserve">(Intuito Personae), </w:t>
      </w:r>
      <w:r>
        <w:rPr>
          <w:spacing w:val="4"/>
          <w:sz w:val="26"/>
          <w:szCs w:val="26"/>
          <w:lang w:val="es-ES" w:eastAsia="es-ES"/>
        </w:rPr>
        <w:t xml:space="preserve">No Negociable. Son Derechos de Uso Especial. La doctrina </w:t>
      </w:r>
      <w:r w:rsidRPr="00D50F21">
        <w:rPr>
          <w:bCs/>
          <w:spacing w:val="4"/>
          <w:sz w:val="26"/>
          <w:szCs w:val="26"/>
          <w:lang w:val="es-ES" w:eastAsia="es-ES"/>
        </w:rPr>
        <w:t>define el</w:t>
      </w:r>
      <w:r>
        <w:rPr>
          <w:b/>
          <w:bCs/>
          <w:spacing w:val="4"/>
          <w:sz w:val="26"/>
          <w:szCs w:val="26"/>
          <w:lang w:val="es-ES" w:eastAsia="es-ES"/>
        </w:rPr>
        <w:t xml:space="preserve"> </w:t>
      </w:r>
      <w:r>
        <w:rPr>
          <w:i/>
          <w:iCs/>
          <w:spacing w:val="4"/>
          <w:sz w:val="26"/>
          <w:szCs w:val="26"/>
          <w:lang w:val="es-ES" w:eastAsia="es-ES"/>
        </w:rPr>
        <w:t xml:space="preserve">Uso Especial </w:t>
      </w:r>
      <w:r>
        <w:rPr>
          <w:spacing w:val="4"/>
          <w:sz w:val="26"/>
          <w:szCs w:val="26"/>
          <w:lang w:val="es-ES" w:eastAsia="es-ES"/>
        </w:rPr>
        <w:t xml:space="preserve">como aquél que </w:t>
      </w:r>
      <w:r>
        <w:rPr>
          <w:b/>
          <w:bCs/>
          <w:i/>
          <w:iCs/>
          <w:spacing w:val="4"/>
          <w:sz w:val="26"/>
          <w:szCs w:val="26"/>
          <w:lang w:val="es-ES" w:eastAsia="es-ES"/>
        </w:rPr>
        <w:t>"...únicamente pueden realizar aquellas personas que hayan adquirido la respectiva facultad conforme al ordenamiento jurídico correspondiente. No es un uso "general" de la colectividad, sino un uso "privativo", "exclusivo", que ejercen personas "determinadas". Contrariamente al uso "común", no se trata de una potestad correspondiente al hombre por su sola calidad de tal. El uso "especial", al contrario de lo que ocurre con el uso "común", no tiene por objeto, principal e inmediato, satisfacer necesidades físicas e</w:t>
      </w:r>
    </w:p>
    <w:p w:rsidR="007777D9" w:rsidRDefault="007777D9">
      <w:pPr>
        <w:widowControl/>
        <w:rPr>
          <w:sz w:val="24"/>
          <w:szCs w:val="24"/>
        </w:rPr>
        <w:sectPr w:rsidR="007777D9">
          <w:pgSz w:w="12134" w:h="15840"/>
          <w:pgMar w:top="1420" w:right="1008" w:bottom="170" w:left="1646" w:header="720" w:footer="720" w:gutter="0"/>
          <w:cols w:space="720"/>
          <w:noEndnote/>
        </w:sectPr>
      </w:pPr>
    </w:p>
    <w:p w:rsidR="007777D9" w:rsidRDefault="007777D9">
      <w:pPr>
        <w:kinsoku w:val="0"/>
        <w:overflowPunct w:val="0"/>
        <w:autoSpaceDE/>
        <w:autoSpaceDN/>
        <w:adjustRightInd/>
        <w:spacing w:before="137" w:line="304" w:lineRule="exact"/>
        <w:ind w:right="648"/>
        <w:jc w:val="both"/>
        <w:textAlignment w:val="baseline"/>
        <w:rPr>
          <w:i/>
          <w:iCs/>
          <w:spacing w:val="9"/>
          <w:sz w:val="26"/>
          <w:szCs w:val="26"/>
          <w:lang w:val="es-ES" w:eastAsia="es-ES"/>
        </w:rPr>
      </w:pPr>
      <w:r>
        <w:rPr>
          <w:b/>
          <w:bCs/>
          <w:i/>
          <w:iCs/>
          <w:spacing w:val="9"/>
          <w:sz w:val="26"/>
          <w:szCs w:val="26"/>
          <w:lang w:val="es-ES" w:eastAsia="es-ES"/>
        </w:rPr>
        <w:lastRenderedPageBreak/>
        <w:t xml:space="preserve">indispensables para la vida misma, ni permitir el desarrollo de la personalidad humana con referencia al ámbito de la libertad, sino aumentar la esfera de acción y el poderío económico del individuo. Entre los diversos usos especiales del dominio público pueden mencionarse: la derivación de aguas para irrigación, para usos industriales; la explotación de transporte de bienes de dominio público; la exhibición y ventas de objetos en las aceras, autorizada a personas determinadas y en sitios determinados; etc..."(MARIENHOFF, </w:t>
      </w:r>
      <w:r>
        <w:rPr>
          <w:i/>
          <w:iCs/>
          <w:spacing w:val="9"/>
          <w:sz w:val="26"/>
          <w:szCs w:val="26"/>
          <w:lang w:val="es-ES" w:eastAsia="es-ES"/>
        </w:rPr>
        <w:t xml:space="preserve">Miguel. </w:t>
      </w:r>
      <w:r>
        <w:rPr>
          <w:b/>
          <w:bCs/>
          <w:i/>
          <w:iCs/>
          <w:spacing w:val="9"/>
          <w:sz w:val="26"/>
          <w:szCs w:val="26"/>
          <w:lang w:val="es-ES" w:eastAsia="es-ES"/>
        </w:rPr>
        <w:t xml:space="preserve">"DOMINIO </w:t>
      </w:r>
      <w:r>
        <w:rPr>
          <w:i/>
          <w:iCs/>
          <w:spacing w:val="9"/>
          <w:sz w:val="26"/>
          <w:szCs w:val="26"/>
          <w:lang w:val="es-ES" w:eastAsia="es-ES"/>
        </w:rPr>
        <w:t xml:space="preserve">PUBLICO". Editorial Valerio Abeledo, Buenos Aires, Argentina, 1955, pág. 55). </w:t>
      </w:r>
      <w:r>
        <w:rPr>
          <w:spacing w:val="9"/>
          <w:sz w:val="26"/>
          <w:szCs w:val="26"/>
          <w:lang w:val="es-ES" w:eastAsia="es-ES"/>
        </w:rPr>
        <w:t xml:space="preserve">Este derecho de uso "especial" puede ser adquirido por cualesquiera de los medios que, al efecto, reconozca el ordenamiento jurídico; entre estos medios, se encuentran tanto el Permiso corno la Concesión. Ambos difieren, en su estructura jurídica, puesto que considerados como actos administrativos, la doctrina le atribuye carácter unilateral al permiso, en tanto que </w:t>
      </w:r>
      <w:r>
        <w:rPr>
          <w:b/>
          <w:bCs/>
          <w:i/>
          <w:iCs/>
          <w:spacing w:val="9"/>
          <w:sz w:val="26"/>
          <w:szCs w:val="26"/>
          <w:lang w:val="es-ES" w:eastAsia="es-ES"/>
        </w:rPr>
        <w:t xml:space="preserve">"...a la concesión se le reconoce un carácter "bilateral", lo cual implica que genera derechos contra el Estado y el concesionario; en cuanto a éste último, debido a que se trata de un derecho subjetivo público otorgado de forma estable, basado en las facultades regladas del Estado..." (DIEZ, </w:t>
      </w:r>
      <w:r>
        <w:rPr>
          <w:i/>
          <w:iCs/>
          <w:spacing w:val="9"/>
          <w:sz w:val="26"/>
          <w:szCs w:val="26"/>
          <w:lang w:val="es-ES" w:eastAsia="es-ES"/>
        </w:rPr>
        <w:t>Manuel María. "MANUAL DE DERECHO ADMINISTRATIVO". Tomo 2</w:t>
      </w:r>
      <w:r>
        <w:rPr>
          <w:rFonts w:ascii="Bookman Old Style" w:hAnsi="Bookman Old Style" w:cs="Bookman Old Style"/>
          <w:i/>
          <w:iCs/>
          <w:spacing w:val="9"/>
          <w:sz w:val="26"/>
          <w:szCs w:val="26"/>
          <w:vertAlign w:val="superscript"/>
          <w:lang w:val="es-ES" w:eastAsia="es-ES"/>
        </w:rPr>
        <w:t>2</w:t>
      </w:r>
      <w:r>
        <w:rPr>
          <w:i/>
          <w:iCs/>
          <w:spacing w:val="9"/>
          <w:sz w:val="26"/>
          <w:szCs w:val="26"/>
          <w:lang w:val="es-ES" w:eastAsia="es-ES"/>
        </w:rPr>
        <w:t xml:space="preserve">. Editorial Plus Ultra, 1996, pág. </w:t>
      </w:r>
      <w:r>
        <w:rPr>
          <w:spacing w:val="9"/>
          <w:sz w:val="26"/>
          <w:szCs w:val="26"/>
          <w:lang w:val="es-ES" w:eastAsia="es-ES"/>
        </w:rPr>
        <w:t xml:space="preserve">53). Ahora bien, lo que tiene de particular este derecho subjetivo administrativo, que lo distingue del civil, es que aquél se encuentra disciplinado por un régimen jurídico especial: un régimen de derecho administrativo, de características distintas al de derecho privado. Los principios de esa rama del ordenamiento jurídico establecen que, estos tipos de derechos, no pueden ser opuestos a la Administración concedente cuando ésta, actuando válidamente, revoque la concesión o desafecte la respectiva dependencia del dominio público. Bajo esta perspectiva, toda concesión, </w:t>
      </w:r>
      <w:r>
        <w:rPr>
          <w:b/>
          <w:bCs/>
          <w:i/>
          <w:iCs/>
          <w:spacing w:val="9"/>
          <w:sz w:val="26"/>
          <w:szCs w:val="26"/>
          <w:lang w:val="es-ES" w:eastAsia="es-ES"/>
        </w:rPr>
        <w:t>"...significa la constitución de un poder jurídico sobre un determinado bien, de la que, una parte será dejada al concesionario para realizar un uso especial..." (</w:t>
      </w:r>
      <w:r w:rsidRPr="00D50F21">
        <w:rPr>
          <w:bCs/>
          <w:i/>
          <w:iCs/>
          <w:spacing w:val="9"/>
          <w:sz w:val="26"/>
          <w:szCs w:val="26"/>
          <w:lang w:val="es-ES" w:eastAsia="es-ES"/>
        </w:rPr>
        <w:t>ibid.</w:t>
      </w:r>
      <w:r>
        <w:rPr>
          <w:b/>
          <w:bCs/>
          <w:i/>
          <w:iCs/>
          <w:spacing w:val="9"/>
          <w:sz w:val="26"/>
          <w:szCs w:val="26"/>
          <w:lang w:val="es-ES" w:eastAsia="es-ES"/>
        </w:rPr>
        <w:t xml:space="preserve"> </w:t>
      </w:r>
      <w:r>
        <w:rPr>
          <w:i/>
          <w:iCs/>
          <w:spacing w:val="9"/>
          <w:sz w:val="26"/>
          <w:szCs w:val="26"/>
          <w:lang w:val="es-ES" w:eastAsia="es-ES"/>
        </w:rPr>
        <w:t>cit. MARIENHOFF, Miguel. pág. 135).</w:t>
      </w:r>
    </w:p>
    <w:p w:rsidR="007777D9" w:rsidRDefault="007777D9">
      <w:pPr>
        <w:kinsoku w:val="0"/>
        <w:overflowPunct w:val="0"/>
        <w:autoSpaceDE/>
        <w:autoSpaceDN/>
        <w:adjustRightInd/>
        <w:spacing w:before="352" w:line="303" w:lineRule="exact"/>
        <w:ind w:right="648"/>
        <w:jc w:val="both"/>
        <w:textAlignment w:val="baseline"/>
        <w:rPr>
          <w:i/>
          <w:iCs/>
          <w:spacing w:val="7"/>
          <w:sz w:val="26"/>
          <w:szCs w:val="26"/>
          <w:u w:val="single"/>
          <w:lang w:val="es-ES" w:eastAsia="es-ES"/>
        </w:rPr>
      </w:pPr>
      <w:r>
        <w:rPr>
          <w:spacing w:val="7"/>
          <w:sz w:val="26"/>
          <w:szCs w:val="26"/>
          <w:lang w:val="es-ES" w:eastAsia="es-ES"/>
        </w:rPr>
        <w:t xml:space="preserve">Así las cosas, tratándose de un Servicio Público Declarado, el Servicio Público de Taxi es que una actividad económica que sale del comercio de los hombres, </w:t>
      </w:r>
      <w:r>
        <w:rPr>
          <w:spacing w:val="7"/>
          <w:sz w:val="26"/>
          <w:szCs w:val="26"/>
          <w:u w:val="single"/>
          <w:lang w:val="es-ES" w:eastAsia="es-ES"/>
        </w:rPr>
        <w:t>no pudiendo desarrollarse en forma libre.</w:t>
      </w:r>
      <w:r>
        <w:rPr>
          <w:b/>
          <w:bCs/>
          <w:i/>
          <w:iCs/>
          <w:spacing w:val="7"/>
          <w:sz w:val="26"/>
          <w:szCs w:val="26"/>
          <w:lang w:val="es-ES" w:eastAsia="es-ES"/>
        </w:rPr>
        <w:t xml:space="preserve"> La única </w:t>
      </w:r>
      <w:r>
        <w:rPr>
          <w:b/>
          <w:bCs/>
          <w:spacing w:val="7"/>
          <w:sz w:val="26"/>
          <w:szCs w:val="26"/>
          <w:lang w:val="es-ES" w:eastAsia="es-ES"/>
        </w:rPr>
        <w:t xml:space="preserve">forma de dedicarse a ella es mediante una Concesión o Permiso del Estado. </w:t>
      </w:r>
      <w:r>
        <w:rPr>
          <w:spacing w:val="7"/>
          <w:sz w:val="26"/>
          <w:szCs w:val="26"/>
          <w:lang w:val="es-ES" w:eastAsia="es-ES"/>
        </w:rPr>
        <w:t xml:space="preserve">Y, sin embargo, aún en tales casos la titularidad del Servicio la mantiene el Estado, limitándose el particular únicamente a su </w:t>
      </w:r>
      <w:r>
        <w:rPr>
          <w:i/>
          <w:iCs/>
          <w:spacing w:val="7"/>
          <w:sz w:val="26"/>
          <w:szCs w:val="26"/>
          <w:u w:val="single"/>
          <w:lang w:val="es-ES" w:eastAsia="es-ES"/>
        </w:rPr>
        <w:t>Prestación Efectiva.</w:t>
      </w:r>
    </w:p>
    <w:p w:rsidR="007777D9" w:rsidRDefault="007777D9">
      <w:pPr>
        <w:kinsoku w:val="0"/>
        <w:overflowPunct w:val="0"/>
        <w:autoSpaceDE/>
        <w:autoSpaceDN/>
        <w:adjustRightInd/>
        <w:spacing w:before="317" w:after="292" w:line="310" w:lineRule="exact"/>
        <w:ind w:right="648"/>
        <w:jc w:val="both"/>
        <w:textAlignment w:val="baseline"/>
        <w:rPr>
          <w:sz w:val="26"/>
          <w:szCs w:val="26"/>
          <w:lang w:val="es-ES" w:eastAsia="es-ES"/>
        </w:rPr>
      </w:pPr>
      <w:r>
        <w:rPr>
          <w:sz w:val="26"/>
          <w:szCs w:val="26"/>
          <w:lang w:val="es-ES" w:eastAsia="es-ES"/>
        </w:rPr>
        <w:t xml:space="preserve">Y es bajo esa Tesitura que los Derechos Personales que otorga una Concesión de Taxi </w:t>
      </w:r>
      <w:r>
        <w:rPr>
          <w:b/>
          <w:bCs/>
          <w:sz w:val="26"/>
          <w:szCs w:val="26"/>
          <w:lang w:val="es-ES" w:eastAsia="es-ES"/>
        </w:rPr>
        <w:t xml:space="preserve">NO SON TRANSFERIBLES MORTIS CAUSA POR LA VIA SUCESORIA. </w:t>
      </w:r>
      <w:r>
        <w:rPr>
          <w:sz w:val="26"/>
          <w:szCs w:val="26"/>
          <w:lang w:val="es-ES" w:eastAsia="es-ES"/>
        </w:rPr>
        <w:t>Sobre el particular el Dictamen C-074-2011 de la Procuraduría General de la República, del 29 de marzo del 2011, puntual y claramente nos indica:</w:t>
      </w:r>
    </w:p>
    <w:p w:rsidR="007777D9" w:rsidRDefault="007777D9">
      <w:pPr>
        <w:widowControl/>
        <w:rPr>
          <w:sz w:val="24"/>
          <w:szCs w:val="24"/>
        </w:rPr>
        <w:sectPr w:rsidR="007777D9">
          <w:pgSz w:w="12134" w:h="15840"/>
          <w:pgMar w:top="1417" w:right="903" w:bottom="190" w:left="1651" w:header="720" w:footer="720" w:gutter="0"/>
          <w:cols w:space="720"/>
          <w:noEndnote/>
        </w:sectPr>
      </w:pPr>
    </w:p>
    <w:p w:rsidR="007777D9" w:rsidRDefault="007777D9">
      <w:pPr>
        <w:tabs>
          <w:tab w:val="right" w:pos="7704"/>
        </w:tabs>
        <w:kinsoku w:val="0"/>
        <w:overflowPunct w:val="0"/>
        <w:autoSpaceDE/>
        <w:autoSpaceDN/>
        <w:adjustRightInd/>
        <w:spacing w:before="4" w:line="310" w:lineRule="exact"/>
        <w:jc w:val="both"/>
        <w:textAlignment w:val="baseline"/>
        <w:rPr>
          <w:b/>
          <w:bCs/>
          <w:sz w:val="26"/>
          <w:szCs w:val="26"/>
          <w:lang w:val="es-ES" w:eastAsia="es-ES"/>
        </w:rPr>
      </w:pPr>
      <w:r>
        <w:rPr>
          <w:b/>
          <w:bCs/>
          <w:sz w:val="26"/>
          <w:szCs w:val="26"/>
          <w:lang w:val="es-ES" w:eastAsia="es-ES"/>
        </w:rPr>
        <w:lastRenderedPageBreak/>
        <w:t>..."Il.</w:t>
      </w:r>
      <w:r>
        <w:rPr>
          <w:b/>
          <w:bCs/>
          <w:sz w:val="26"/>
          <w:szCs w:val="26"/>
          <w:lang w:val="es-ES" w:eastAsia="es-ES"/>
        </w:rPr>
        <w:tab/>
        <w:t>LOS DERECHOS MERAMENTE PERSONALES NO SON</w:t>
      </w:r>
    </w:p>
    <w:p w:rsidR="007777D9" w:rsidRDefault="007777D9">
      <w:pPr>
        <w:kinsoku w:val="0"/>
        <w:overflowPunct w:val="0"/>
        <w:autoSpaceDE/>
        <w:autoSpaceDN/>
        <w:adjustRightInd/>
        <w:spacing w:line="306" w:lineRule="exact"/>
        <w:textAlignment w:val="baseline"/>
        <w:rPr>
          <w:b/>
          <w:bCs/>
          <w:spacing w:val="-15"/>
          <w:sz w:val="26"/>
          <w:szCs w:val="26"/>
          <w:lang w:val="es-ES" w:eastAsia="es-ES"/>
        </w:rPr>
      </w:pPr>
      <w:r>
        <w:rPr>
          <w:b/>
          <w:bCs/>
          <w:spacing w:val="-15"/>
          <w:sz w:val="26"/>
          <w:szCs w:val="26"/>
          <w:lang w:val="es-ES" w:eastAsia="es-ES"/>
        </w:rPr>
        <w:t>TRANSFERIBLES "MORTIS CAUSA".</w:t>
      </w:r>
    </w:p>
    <w:p w:rsidR="007777D9" w:rsidRDefault="007777D9">
      <w:pPr>
        <w:kinsoku w:val="0"/>
        <w:overflowPunct w:val="0"/>
        <w:autoSpaceDE/>
        <w:autoSpaceDN/>
        <w:adjustRightInd/>
        <w:spacing w:before="310" w:line="309" w:lineRule="exact"/>
        <w:jc w:val="both"/>
        <w:textAlignment w:val="baseline"/>
        <w:rPr>
          <w:spacing w:val="6"/>
          <w:sz w:val="26"/>
          <w:szCs w:val="26"/>
          <w:lang w:val="es-ES" w:eastAsia="es-ES"/>
        </w:rPr>
      </w:pPr>
      <w:r>
        <w:rPr>
          <w:spacing w:val="6"/>
          <w:sz w:val="26"/>
          <w:szCs w:val="26"/>
          <w:lang w:val="es-ES" w:eastAsia="es-ES"/>
        </w:rPr>
        <w:t>La consulta que nos ocupa tiene por objeto que este Despacho determine la procedencia legal o no, del traspaso de las concesiones para brindar el servicio de transporte remunerado de personas en vehículos modalidad taxi por muerte del concesionario.</w:t>
      </w:r>
    </w:p>
    <w:p w:rsidR="007777D9" w:rsidRDefault="007777D9">
      <w:pPr>
        <w:kinsoku w:val="0"/>
        <w:overflowPunct w:val="0"/>
        <w:autoSpaceDE/>
        <w:autoSpaceDN/>
        <w:adjustRightInd/>
        <w:spacing w:before="303" w:line="309" w:lineRule="exact"/>
        <w:jc w:val="both"/>
        <w:textAlignment w:val="baseline"/>
        <w:rPr>
          <w:spacing w:val="9"/>
          <w:sz w:val="26"/>
          <w:szCs w:val="26"/>
          <w:lang w:val="es-ES" w:eastAsia="es-ES"/>
        </w:rPr>
      </w:pPr>
      <w:r>
        <w:rPr>
          <w:spacing w:val="9"/>
          <w:sz w:val="26"/>
          <w:szCs w:val="26"/>
          <w:lang w:val="es-ES" w:eastAsia="es-ES"/>
        </w:rPr>
        <w:t>Al respecto, debemos tener presente lo analizado en el apartado anterior en torno a la naturaleza jurídica del derecho derivado de una concesión de servicio público en favor del concesionario, a saber, que éste es titular de un derecho subjetivo, de carácter personalísimo (intuito personae), respecto de la Administración concedente y no de un derecho real administrativo. Por consiguiente, con la muerte del concesionario, se extingue el derecho derivado de la concesión. Sobre el particular, el artículo 521 del Código Civil, dispone:</w:t>
      </w:r>
    </w:p>
    <w:p w:rsidR="007777D9" w:rsidRDefault="007777D9">
      <w:pPr>
        <w:kinsoku w:val="0"/>
        <w:overflowPunct w:val="0"/>
        <w:autoSpaceDE/>
        <w:autoSpaceDN/>
        <w:adjustRightInd/>
        <w:spacing w:before="317" w:line="308" w:lineRule="exact"/>
        <w:jc w:val="both"/>
        <w:textAlignment w:val="baseline"/>
        <w:rPr>
          <w:i/>
          <w:iCs/>
          <w:sz w:val="26"/>
          <w:szCs w:val="26"/>
          <w:lang w:val="es-ES" w:eastAsia="es-ES"/>
        </w:rPr>
      </w:pPr>
      <w:r>
        <w:rPr>
          <w:i/>
          <w:iCs/>
          <w:sz w:val="26"/>
          <w:szCs w:val="26"/>
          <w:lang w:val="es-ES" w:eastAsia="es-ES"/>
        </w:rPr>
        <w:t xml:space="preserve">"Artículo 521.- La sucesión comprende todos los bienes, derechos y obligaciones del causante, salvo </w:t>
      </w:r>
      <w:r>
        <w:rPr>
          <w:i/>
          <w:iCs/>
          <w:sz w:val="26"/>
          <w:szCs w:val="26"/>
          <w:u w:val="single"/>
          <w:lang w:val="es-ES" w:eastAsia="es-ES"/>
        </w:rPr>
        <w:t>los derechos y obligaciones que, por ser meramente personales, se extinguen con la muerte."</w:t>
      </w:r>
      <w:r>
        <w:rPr>
          <w:i/>
          <w:iCs/>
          <w:sz w:val="26"/>
          <w:szCs w:val="26"/>
          <w:lang w:val="es-ES" w:eastAsia="es-ES"/>
        </w:rPr>
        <w:t xml:space="preserve"> Lo subrayado no es del original.</w:t>
      </w:r>
    </w:p>
    <w:p w:rsidR="007777D9" w:rsidRDefault="007777D9">
      <w:pPr>
        <w:kinsoku w:val="0"/>
        <w:overflowPunct w:val="0"/>
        <w:autoSpaceDE/>
        <w:autoSpaceDN/>
        <w:adjustRightInd/>
        <w:spacing w:before="314" w:line="309" w:lineRule="exact"/>
        <w:jc w:val="both"/>
        <w:textAlignment w:val="baseline"/>
        <w:rPr>
          <w:spacing w:val="15"/>
          <w:sz w:val="26"/>
          <w:szCs w:val="26"/>
          <w:lang w:val="es-ES" w:eastAsia="es-ES"/>
        </w:rPr>
      </w:pPr>
      <w:r>
        <w:rPr>
          <w:spacing w:val="15"/>
          <w:sz w:val="26"/>
          <w:szCs w:val="26"/>
          <w:lang w:val="es-ES" w:eastAsia="es-ES"/>
        </w:rPr>
        <w:t>La norma transcrita se relaciona con el numeral 294 del mismo</w:t>
      </w:r>
    </w:p>
    <w:p w:rsidR="007777D9" w:rsidRDefault="007777D9">
      <w:pPr>
        <w:tabs>
          <w:tab w:val="left" w:pos="1800"/>
          <w:tab w:val="left" w:pos="4032"/>
          <w:tab w:val="left" w:pos="5256"/>
          <w:tab w:val="right" w:pos="7704"/>
        </w:tabs>
        <w:kinsoku w:val="0"/>
        <w:overflowPunct w:val="0"/>
        <w:autoSpaceDE/>
        <w:autoSpaceDN/>
        <w:adjustRightInd/>
        <w:spacing w:line="305" w:lineRule="exact"/>
        <w:jc w:val="both"/>
        <w:textAlignment w:val="baseline"/>
        <w:rPr>
          <w:sz w:val="26"/>
          <w:szCs w:val="26"/>
          <w:lang w:val="es-ES" w:eastAsia="es-ES"/>
        </w:rPr>
      </w:pPr>
      <w:r>
        <w:rPr>
          <w:sz w:val="26"/>
          <w:szCs w:val="26"/>
          <w:lang w:val="es-ES" w:eastAsia="es-ES"/>
        </w:rPr>
        <w:t>cuerpo</w:t>
      </w:r>
      <w:r>
        <w:rPr>
          <w:sz w:val="26"/>
          <w:szCs w:val="26"/>
          <w:lang w:val="es-ES" w:eastAsia="es-ES"/>
        </w:rPr>
        <w:tab/>
        <w:t>normativo,</w:t>
      </w:r>
      <w:r>
        <w:rPr>
          <w:sz w:val="26"/>
          <w:szCs w:val="26"/>
          <w:lang w:val="es-ES" w:eastAsia="es-ES"/>
        </w:rPr>
        <w:tab/>
        <w:t>el</w:t>
      </w:r>
      <w:r>
        <w:rPr>
          <w:sz w:val="26"/>
          <w:szCs w:val="26"/>
          <w:lang w:val="es-ES" w:eastAsia="es-ES"/>
        </w:rPr>
        <w:tab/>
        <w:t>cual</w:t>
      </w:r>
      <w:r>
        <w:rPr>
          <w:sz w:val="26"/>
          <w:szCs w:val="26"/>
          <w:lang w:val="es-ES" w:eastAsia="es-ES"/>
        </w:rPr>
        <w:tab/>
        <w:t>dispone:</w:t>
      </w:r>
    </w:p>
    <w:p w:rsidR="007777D9" w:rsidRDefault="007777D9">
      <w:pPr>
        <w:kinsoku w:val="0"/>
        <w:overflowPunct w:val="0"/>
        <w:autoSpaceDE/>
        <w:autoSpaceDN/>
        <w:adjustRightInd/>
        <w:spacing w:before="308" w:line="308" w:lineRule="exact"/>
        <w:jc w:val="both"/>
        <w:textAlignment w:val="baseline"/>
        <w:rPr>
          <w:i/>
          <w:iCs/>
          <w:sz w:val="26"/>
          <w:szCs w:val="26"/>
          <w:lang w:val="es-ES" w:eastAsia="es-ES"/>
        </w:rPr>
      </w:pPr>
      <w:r>
        <w:rPr>
          <w:i/>
          <w:iCs/>
          <w:sz w:val="26"/>
          <w:szCs w:val="26"/>
          <w:lang w:val="es-ES" w:eastAsia="es-ES"/>
        </w:rPr>
        <w:t>"Artículo 294.- El patrimonio o total conjunto de los bienes y derechos de una persona, sólo puede transferirse a otra u otras personas por vía de herencia."</w:t>
      </w:r>
    </w:p>
    <w:p w:rsidR="007777D9" w:rsidRDefault="007777D9">
      <w:pPr>
        <w:kinsoku w:val="0"/>
        <w:overflowPunct w:val="0"/>
        <w:autoSpaceDE/>
        <w:autoSpaceDN/>
        <w:adjustRightInd/>
        <w:spacing w:before="317" w:after="1031" w:line="309" w:lineRule="exact"/>
        <w:jc w:val="both"/>
        <w:textAlignment w:val="baseline"/>
        <w:rPr>
          <w:b/>
          <w:bCs/>
          <w:spacing w:val="9"/>
          <w:sz w:val="26"/>
          <w:szCs w:val="26"/>
          <w:lang w:val="es-ES" w:eastAsia="es-ES"/>
        </w:rPr>
      </w:pPr>
      <w:r>
        <w:rPr>
          <w:spacing w:val="9"/>
          <w:sz w:val="26"/>
          <w:szCs w:val="26"/>
          <w:lang w:val="es-ES" w:eastAsia="es-ES"/>
        </w:rPr>
        <w:t xml:space="preserve">De la normativa transcrita se desprende que, ante la muerte de una persona, solo resultan transferibles, por vía de herencia, los bienes, derechos y obligaciones del causante, pero no los derechos y obligaciones que, por ser meramente personales, se extinguen con su muerte. </w:t>
      </w:r>
      <w:r>
        <w:rPr>
          <w:b/>
          <w:bCs/>
          <w:spacing w:val="9"/>
          <w:sz w:val="26"/>
          <w:szCs w:val="26"/>
          <w:lang w:val="es-ES" w:eastAsia="es-ES"/>
        </w:rPr>
        <w:t>Y este es el caso, repito, del derecho derivado de una concesión para brindar el servicio público de transporte remunerado de personas en vehículos modalidad taxi, que al ser personalísimo del concesionario frente a la Administración concedente, resulta intransferible a sus herederos."...</w:t>
      </w:r>
    </w:p>
    <w:p w:rsidR="007777D9" w:rsidRDefault="007777D9">
      <w:pPr>
        <w:widowControl/>
        <w:rPr>
          <w:sz w:val="24"/>
          <w:szCs w:val="24"/>
        </w:rPr>
        <w:sectPr w:rsidR="007777D9">
          <w:pgSz w:w="12134" w:h="15840"/>
          <w:pgMar w:top="1700" w:right="2163" w:bottom="364" w:left="2251" w:header="720" w:footer="720" w:gutter="0"/>
          <w:cols w:space="720"/>
          <w:noEndnote/>
        </w:sectPr>
      </w:pPr>
    </w:p>
    <w:p w:rsidR="007777D9" w:rsidRDefault="007777D9">
      <w:pPr>
        <w:widowControl/>
        <w:rPr>
          <w:sz w:val="24"/>
          <w:szCs w:val="24"/>
        </w:rPr>
        <w:sectPr w:rsidR="007777D9">
          <w:type w:val="continuous"/>
          <w:pgSz w:w="12134" w:h="15840"/>
          <w:pgMar w:top="1700" w:right="1561" w:bottom="364" w:left="7493" w:header="720" w:footer="720" w:gutter="0"/>
          <w:cols w:space="720"/>
          <w:noEndnote/>
        </w:sectPr>
      </w:pPr>
    </w:p>
    <w:p w:rsidR="007777D9" w:rsidRDefault="007777D9">
      <w:pPr>
        <w:kinsoku w:val="0"/>
        <w:overflowPunct w:val="0"/>
        <w:autoSpaceDE/>
        <w:autoSpaceDN/>
        <w:adjustRightInd/>
        <w:spacing w:before="16" w:line="302" w:lineRule="exact"/>
        <w:ind w:right="144"/>
        <w:jc w:val="both"/>
        <w:textAlignment w:val="baseline"/>
        <w:rPr>
          <w:sz w:val="26"/>
          <w:szCs w:val="26"/>
          <w:lang w:val="es-ES" w:eastAsia="es-ES"/>
        </w:rPr>
      </w:pPr>
      <w:r>
        <w:rPr>
          <w:sz w:val="26"/>
          <w:szCs w:val="26"/>
          <w:lang w:val="es-ES" w:eastAsia="es-ES"/>
        </w:rPr>
        <w:lastRenderedPageBreak/>
        <w:t>Así las cosas, los Requisitos Pedidos en cuanto al sentido y a la temática desarrollados, Resultan Improcedentes.</w:t>
      </w:r>
    </w:p>
    <w:p w:rsidR="007777D9" w:rsidRDefault="007777D9">
      <w:pPr>
        <w:kinsoku w:val="0"/>
        <w:overflowPunct w:val="0"/>
        <w:autoSpaceDE/>
        <w:autoSpaceDN/>
        <w:adjustRightInd/>
        <w:spacing w:before="304" w:line="313" w:lineRule="exact"/>
        <w:ind w:right="144"/>
        <w:jc w:val="both"/>
        <w:textAlignment w:val="baseline"/>
        <w:rPr>
          <w:sz w:val="26"/>
          <w:szCs w:val="26"/>
          <w:lang w:val="es-ES" w:eastAsia="es-ES"/>
        </w:rPr>
      </w:pPr>
      <w:r>
        <w:rPr>
          <w:sz w:val="26"/>
          <w:szCs w:val="26"/>
          <w:lang w:val="es-ES" w:eastAsia="es-ES"/>
        </w:rPr>
        <w:t>Y sobre la Nulidad Absoluta que generan los Vicios Apuntados de Falta de Motivo/Fundamento por Falta de Autorización de la Junta Directiva del Consejo de Transporte Público de los Requisitos en cuestión, vale acotar lo siguiente:</w:t>
      </w:r>
    </w:p>
    <w:p w:rsidR="007777D9" w:rsidRDefault="007777D9">
      <w:pPr>
        <w:kinsoku w:val="0"/>
        <w:overflowPunct w:val="0"/>
        <w:autoSpaceDE/>
        <w:autoSpaceDN/>
        <w:adjustRightInd/>
        <w:spacing w:before="239" w:after="408" w:line="310" w:lineRule="exact"/>
        <w:ind w:left="576" w:right="720"/>
        <w:jc w:val="both"/>
        <w:textAlignment w:val="baseline"/>
        <w:rPr>
          <w:spacing w:val="5"/>
          <w:sz w:val="26"/>
          <w:szCs w:val="26"/>
          <w:lang w:val="es-ES" w:eastAsia="es-ES"/>
        </w:rPr>
      </w:pPr>
      <w:r>
        <w:rPr>
          <w:spacing w:val="5"/>
          <w:sz w:val="26"/>
          <w:szCs w:val="26"/>
          <w:lang w:val="es-ES" w:eastAsia="es-ES"/>
        </w:rPr>
        <w:t xml:space="preserve">..."Se tiene entonces, que los vicios del procedimiento son los causados al inobservarse la debida ritualidad de éste, en tanto con la omisión o ausencia de esa formalidad se impida o cambie la decisión final o que se cause indefensión. El tercer elemento formal del acto administrativo es la </w:t>
      </w:r>
      <w:r>
        <w:rPr>
          <w:b/>
          <w:bCs/>
          <w:spacing w:val="5"/>
          <w:sz w:val="26"/>
          <w:szCs w:val="26"/>
          <w:lang w:val="es-ES" w:eastAsia="es-ES"/>
        </w:rPr>
        <w:t xml:space="preserve">forma, </w:t>
      </w:r>
      <w:r>
        <w:rPr>
          <w:spacing w:val="5"/>
          <w:sz w:val="26"/>
          <w:szCs w:val="26"/>
          <w:lang w:val="es-ES" w:eastAsia="es-ES"/>
        </w:rPr>
        <w:t xml:space="preserve">que es la manera como se exterioriza o manifiesta el acto administrativo. De conformidad con el artículo 134 de la LGAP, el acto administrativo deberá expresarse por escrito, salvo que su naturaleza o las circunstancias exijan forma diversa (ver 136 LGAP y 146 Constitución Política). Deriva de este elemento formal, la obligación de la Administración de justificar adecuadamente sus decisiones, por medio de la </w:t>
      </w:r>
      <w:r>
        <w:rPr>
          <w:b/>
          <w:bCs/>
          <w:spacing w:val="5"/>
          <w:sz w:val="26"/>
          <w:szCs w:val="26"/>
          <w:lang w:val="es-ES" w:eastAsia="es-ES"/>
        </w:rPr>
        <w:t xml:space="preserve">motivación </w:t>
      </w:r>
      <w:r>
        <w:rPr>
          <w:spacing w:val="5"/>
          <w:sz w:val="26"/>
          <w:szCs w:val="26"/>
          <w:lang w:val="es-ES" w:eastAsia="es-ES"/>
        </w:rPr>
        <w:t xml:space="preserve">de sus actos, en tanto la motivación significa la explicación, fundamentación o justificación que la Administración brinda en el dictado de un acto administrativo. Se ha dicho que </w:t>
      </w:r>
      <w:r>
        <w:rPr>
          <w:i/>
          <w:iCs/>
          <w:spacing w:val="5"/>
          <w:sz w:val="26"/>
          <w:szCs w:val="26"/>
          <w:lang w:val="es-ES" w:eastAsia="es-ES"/>
        </w:rPr>
        <w:t xml:space="preserve">"Motivar un </w:t>
      </w:r>
      <w:r>
        <w:rPr>
          <w:spacing w:val="5"/>
          <w:sz w:val="26"/>
          <w:szCs w:val="26"/>
          <w:lang w:val="es-ES" w:eastAsia="es-ES"/>
        </w:rPr>
        <w:t xml:space="preserve">acto administrativo </w:t>
      </w:r>
      <w:r>
        <w:rPr>
          <w:i/>
          <w:iCs/>
          <w:spacing w:val="5"/>
          <w:sz w:val="26"/>
          <w:szCs w:val="26"/>
          <w:lang w:val="es-ES" w:eastAsia="es-ES"/>
        </w:rPr>
        <w:t xml:space="preserve">es reconducir la decisión que en el mismo se contiene a una regla de derecho que autoriza tal decisión o de cuya aplicación surge. Por ello motivar un acto obliga a fijar, en primer término, los hechos de cuya consideración se parte y a incluir tales hechos en el supuesto de una norma jurídica; y, en segundo lugar, a razonar como tal norma jurídica impone la resolución que se adopta en la parte dispositiva de/ acto." </w:t>
      </w:r>
      <w:r>
        <w:rPr>
          <w:spacing w:val="5"/>
          <w:sz w:val="26"/>
          <w:szCs w:val="26"/>
          <w:lang w:val="es-ES" w:eastAsia="es-ES"/>
        </w:rPr>
        <w:t xml:space="preserve">(Eduardo García de Enterría y Tomás Ramón Fernández; </w:t>
      </w:r>
      <w:r w:rsidRPr="00D50F21">
        <w:rPr>
          <w:bCs/>
          <w:spacing w:val="5"/>
          <w:sz w:val="26"/>
          <w:szCs w:val="26"/>
          <w:lang w:val="es-ES" w:eastAsia="es-ES"/>
        </w:rPr>
        <w:t xml:space="preserve">"Curso </w:t>
      </w:r>
      <w:r w:rsidRPr="00D50F21">
        <w:rPr>
          <w:spacing w:val="5"/>
          <w:sz w:val="26"/>
          <w:szCs w:val="26"/>
          <w:lang w:val="es-ES" w:eastAsia="es-ES"/>
        </w:rPr>
        <w:t xml:space="preserve">de Derecho Administrativo", Tomo I, Editorial Civitas, </w:t>
      </w:r>
      <w:r w:rsidRPr="00D50F21">
        <w:rPr>
          <w:bCs/>
          <w:spacing w:val="5"/>
          <w:sz w:val="26"/>
          <w:szCs w:val="26"/>
          <w:lang w:val="es-ES" w:eastAsia="es-ES"/>
        </w:rPr>
        <w:t>Madrid, 1997</w:t>
      </w:r>
      <w:r>
        <w:rPr>
          <w:b/>
          <w:bCs/>
          <w:spacing w:val="5"/>
          <w:sz w:val="26"/>
          <w:szCs w:val="26"/>
          <w:lang w:val="es-ES" w:eastAsia="es-ES"/>
        </w:rPr>
        <w:t xml:space="preserve">, </w:t>
      </w:r>
      <w:r>
        <w:rPr>
          <w:spacing w:val="5"/>
          <w:sz w:val="26"/>
          <w:szCs w:val="26"/>
          <w:lang w:val="es-ES" w:eastAsia="es-ES"/>
        </w:rPr>
        <w:t xml:space="preserve">p. 556). La Sala Constitucional ha manifestado: </w:t>
      </w:r>
      <w:r>
        <w:rPr>
          <w:i/>
          <w:iCs/>
          <w:spacing w:val="5"/>
          <w:sz w:val="26"/>
          <w:szCs w:val="26"/>
          <w:lang w:val="es-ES" w:eastAsia="es-ES"/>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w:t>
      </w:r>
      <w:r>
        <w:rPr>
          <w:b/>
          <w:bCs/>
          <w:spacing w:val="5"/>
          <w:sz w:val="26"/>
          <w:szCs w:val="26"/>
          <w:lang w:val="es-ES" w:eastAsia="es-ES"/>
        </w:rPr>
        <w:t xml:space="preserve">(Voto 7924-99). </w:t>
      </w:r>
      <w:r>
        <w:rPr>
          <w:spacing w:val="5"/>
          <w:sz w:val="26"/>
          <w:szCs w:val="26"/>
          <w:lang w:val="es-ES" w:eastAsia="es-ES"/>
        </w:rPr>
        <w:t>Respecto de los elementos materiales o sustanciales del acto</w:t>
      </w:r>
    </w:p>
    <w:p w:rsidR="007777D9" w:rsidRDefault="007777D9">
      <w:pPr>
        <w:widowControl/>
        <w:rPr>
          <w:sz w:val="24"/>
          <w:szCs w:val="24"/>
        </w:rPr>
        <w:sectPr w:rsidR="007777D9">
          <w:pgSz w:w="12134" w:h="15840"/>
          <w:pgMar w:top="1400" w:right="1449" w:bottom="384" w:left="1685" w:header="720" w:footer="720" w:gutter="0"/>
          <w:cols w:space="720"/>
          <w:noEndnote/>
        </w:sectPr>
      </w:pPr>
    </w:p>
    <w:p w:rsidR="007777D9" w:rsidRDefault="007777D9">
      <w:pPr>
        <w:widowControl/>
        <w:rPr>
          <w:sz w:val="24"/>
          <w:szCs w:val="24"/>
        </w:rPr>
        <w:sectPr w:rsidR="007777D9">
          <w:type w:val="continuous"/>
          <w:pgSz w:w="12134" w:h="15840"/>
          <w:pgMar w:top="1400" w:right="1449" w:bottom="384" w:left="7511" w:header="720" w:footer="720" w:gutter="0"/>
          <w:cols w:space="720"/>
          <w:noEndnote/>
        </w:sectPr>
      </w:pPr>
    </w:p>
    <w:p w:rsidR="007777D9" w:rsidRDefault="007777D9">
      <w:pPr>
        <w:kinsoku w:val="0"/>
        <w:overflowPunct w:val="0"/>
        <w:autoSpaceDE/>
        <w:autoSpaceDN/>
        <w:adjustRightInd/>
        <w:spacing w:before="26" w:line="307" w:lineRule="exact"/>
        <w:ind w:left="648" w:right="648"/>
        <w:jc w:val="both"/>
        <w:textAlignment w:val="baseline"/>
        <w:rPr>
          <w:spacing w:val="8"/>
          <w:sz w:val="26"/>
          <w:szCs w:val="26"/>
          <w:lang w:val="es-ES" w:eastAsia="es-ES"/>
        </w:rPr>
      </w:pPr>
      <w:r>
        <w:rPr>
          <w:spacing w:val="8"/>
          <w:sz w:val="26"/>
          <w:szCs w:val="26"/>
          <w:lang w:val="es-ES" w:eastAsia="es-ES"/>
        </w:rPr>
        <w:lastRenderedPageBreak/>
        <w:t xml:space="preserve">administrativo, tenemos que el </w:t>
      </w:r>
      <w:r>
        <w:rPr>
          <w:b/>
          <w:bCs/>
          <w:spacing w:val="8"/>
          <w:sz w:val="26"/>
          <w:szCs w:val="26"/>
          <w:lang w:val="es-ES" w:eastAsia="es-ES"/>
        </w:rPr>
        <w:t xml:space="preserve">motivo </w:t>
      </w:r>
      <w:r>
        <w:rPr>
          <w:spacing w:val="8"/>
          <w:sz w:val="26"/>
          <w:szCs w:val="26"/>
          <w:lang w:val="es-ES" w:eastAsia="es-ES"/>
        </w:rPr>
        <w:t xml:space="preserve">(artículo 133 LGAP) es el presupuesto jurídico, el hecho condicionante que da génesis al acto administrativo. De tal manera que el motivo del acto administrativo constituye el supuesto o el hecho condicionante de la emisión de un acto administrativo, en otros términos, constituye la razón de ser del acto administrativo, lo que obliga o permite su emisión. Puede consistir en un acto o un hecho jurídico previsto por la norma jurídica. En tanto que el </w:t>
      </w:r>
      <w:r>
        <w:rPr>
          <w:b/>
          <w:bCs/>
          <w:spacing w:val="8"/>
          <w:sz w:val="26"/>
          <w:szCs w:val="26"/>
          <w:lang w:val="es-ES" w:eastAsia="es-ES"/>
        </w:rPr>
        <w:t xml:space="preserve">contenido </w:t>
      </w:r>
      <w:r>
        <w:rPr>
          <w:spacing w:val="8"/>
          <w:sz w:val="26"/>
          <w:szCs w:val="26"/>
          <w:lang w:val="es-ES" w:eastAsia="es-ES"/>
        </w:rPr>
        <w:t xml:space="preserve">del acto, constituye el efecto jurídico o la parte dispositiva del acto, lo que manda, ordena o dispone. Es el cambio que introduce en el mundo jurídico. Es la parte del acto que dispone una sanción, una autorización, permiso, concesión (artículo 132 LGAP). El último de los elementos sustanciales o materiales es el </w:t>
      </w:r>
      <w:r>
        <w:rPr>
          <w:b/>
          <w:bCs/>
          <w:spacing w:val="8"/>
          <w:sz w:val="26"/>
          <w:szCs w:val="26"/>
          <w:lang w:val="es-ES" w:eastAsia="es-ES"/>
        </w:rPr>
        <w:t xml:space="preserve">Fin. </w:t>
      </w:r>
      <w:r>
        <w:rPr>
          <w:spacing w:val="8"/>
          <w:sz w:val="26"/>
          <w:szCs w:val="26"/>
          <w:lang w:val="es-ES" w:eastAsia="es-ES"/>
        </w:rPr>
        <w:t>La Administración Pública tiene un cometido único, la satisfacción del interés público. Esa satisfacción del interés público se logra de diversas maneras, siendo una de ellas a través de la emisión de actos administrativos. En principio se entiende que todo acto administrativo, como ejercicio concreto de una competencia genérica, tiende a la satisfacción del interés común. Por ello se afirma, que el fin del acto administrativo en consecuencia será la satisfacción del interés público, que constituye el fin general de todo acto administrativo y a su vez, el fin específico será la satisfacción del interés público que está a cargo de esa competencia (artículo 131 LGAP). Dispone el artículo 166 LGAP:</w:t>
      </w:r>
    </w:p>
    <w:p w:rsidR="007777D9" w:rsidRDefault="007777D9">
      <w:pPr>
        <w:kinsoku w:val="0"/>
        <w:overflowPunct w:val="0"/>
        <w:autoSpaceDE/>
        <w:autoSpaceDN/>
        <w:adjustRightInd/>
        <w:spacing w:before="313" w:line="304" w:lineRule="exact"/>
        <w:ind w:left="648" w:right="648"/>
        <w:jc w:val="both"/>
        <w:textAlignment w:val="baseline"/>
        <w:rPr>
          <w:b/>
          <w:bCs/>
          <w:spacing w:val="9"/>
          <w:sz w:val="26"/>
          <w:szCs w:val="26"/>
          <w:lang w:val="es-ES" w:eastAsia="es-ES"/>
        </w:rPr>
      </w:pPr>
      <w:r>
        <w:rPr>
          <w:b/>
          <w:bCs/>
          <w:i/>
          <w:iCs/>
          <w:spacing w:val="9"/>
          <w:sz w:val="26"/>
          <w:szCs w:val="26"/>
          <w:lang w:val="es-ES" w:eastAsia="es-ES"/>
        </w:rPr>
        <w:t xml:space="preserve">"Habrá nulidad absoluta del acto cuando falten totalmente uno o varios de sus elementos constitutivos, real o jurídicamente"."... </w:t>
      </w:r>
      <w:r>
        <w:rPr>
          <w:b/>
          <w:bCs/>
          <w:spacing w:val="9"/>
          <w:sz w:val="26"/>
          <w:szCs w:val="26"/>
          <w:lang w:val="es-ES" w:eastAsia="es-ES"/>
        </w:rPr>
        <w:t>(Sentencia 2014-00030 de la Sección IV del Tribunal Contencioso Administrativo)</w:t>
      </w:r>
    </w:p>
    <w:p w:rsidR="007777D9" w:rsidRDefault="007777D9">
      <w:pPr>
        <w:kinsoku w:val="0"/>
        <w:overflowPunct w:val="0"/>
        <w:autoSpaceDE/>
        <w:autoSpaceDN/>
        <w:adjustRightInd/>
        <w:spacing w:before="292" w:line="307" w:lineRule="exact"/>
        <w:ind w:left="72"/>
        <w:jc w:val="both"/>
        <w:textAlignment w:val="baseline"/>
        <w:rPr>
          <w:spacing w:val="4"/>
          <w:sz w:val="26"/>
          <w:szCs w:val="26"/>
          <w:lang w:val="es-ES" w:eastAsia="es-ES"/>
        </w:rPr>
      </w:pPr>
      <w:r>
        <w:rPr>
          <w:spacing w:val="4"/>
          <w:sz w:val="26"/>
          <w:szCs w:val="26"/>
          <w:lang w:val="es-ES" w:eastAsia="es-ES"/>
        </w:rPr>
        <w:t xml:space="preserve">También, ante el Espíritu y la razón de Ser de la Ley No. 9027, podría evidenciarse un Vicio en el Fin de lo Actuado, pues con lo procedido por el Consejo de Transporte Público no se estaría </w:t>
      </w:r>
      <w:r>
        <w:rPr>
          <w:i/>
          <w:iCs/>
          <w:spacing w:val="4"/>
          <w:sz w:val="26"/>
          <w:szCs w:val="26"/>
          <w:lang w:val="es-ES" w:eastAsia="es-ES"/>
        </w:rPr>
        <w:t xml:space="preserve">-ciertamente- </w:t>
      </w:r>
      <w:r>
        <w:rPr>
          <w:spacing w:val="4"/>
          <w:sz w:val="26"/>
          <w:szCs w:val="26"/>
          <w:lang w:val="es-ES" w:eastAsia="es-ES"/>
        </w:rPr>
        <w:t xml:space="preserve">Cumpliendo con lo Pretendido, </w:t>
      </w:r>
      <w:r>
        <w:rPr>
          <w:i/>
          <w:iCs/>
          <w:spacing w:val="4"/>
          <w:sz w:val="26"/>
          <w:szCs w:val="26"/>
          <w:lang w:val="es-ES" w:eastAsia="es-ES"/>
        </w:rPr>
        <w:t xml:space="preserve">con el Fin, </w:t>
      </w:r>
      <w:r>
        <w:rPr>
          <w:spacing w:val="4"/>
          <w:sz w:val="26"/>
          <w:szCs w:val="26"/>
          <w:lang w:val="es-ES" w:eastAsia="es-ES"/>
        </w:rPr>
        <w:t>de la Ley No. 9027.</w:t>
      </w:r>
    </w:p>
    <w:p w:rsidR="007777D9" w:rsidRDefault="007777D9">
      <w:pPr>
        <w:tabs>
          <w:tab w:val="right" w:pos="8928"/>
        </w:tabs>
        <w:kinsoku w:val="0"/>
        <w:overflowPunct w:val="0"/>
        <w:autoSpaceDE/>
        <w:autoSpaceDN/>
        <w:adjustRightInd/>
        <w:spacing w:before="632" w:line="307" w:lineRule="exact"/>
        <w:ind w:left="72"/>
        <w:jc w:val="both"/>
        <w:textAlignment w:val="baseline"/>
        <w:rPr>
          <w:sz w:val="26"/>
          <w:szCs w:val="26"/>
          <w:lang w:val="es-ES" w:eastAsia="es-ES"/>
        </w:rPr>
      </w:pPr>
      <w:r>
        <w:rPr>
          <w:b/>
          <w:bCs/>
          <w:i/>
          <w:iCs/>
          <w:sz w:val="26"/>
          <w:szCs w:val="26"/>
          <w:lang w:val="es-ES" w:eastAsia="es-ES"/>
        </w:rPr>
        <w:t>2.-</w:t>
      </w:r>
      <w:r>
        <w:rPr>
          <w:b/>
          <w:bCs/>
          <w:i/>
          <w:iCs/>
          <w:sz w:val="26"/>
          <w:szCs w:val="26"/>
          <w:lang w:val="es-ES" w:eastAsia="es-ES"/>
        </w:rPr>
        <w:tab/>
      </w:r>
      <w:r>
        <w:rPr>
          <w:sz w:val="26"/>
          <w:szCs w:val="26"/>
          <w:lang w:val="es-ES" w:eastAsia="es-ES"/>
        </w:rPr>
        <w:t>Unido y ligado a lo anterior, se tiene que el TRANSITORIO ÚNICO de la</w:t>
      </w:r>
    </w:p>
    <w:p w:rsidR="007777D9" w:rsidRDefault="007777D9">
      <w:pPr>
        <w:kinsoku w:val="0"/>
        <w:overflowPunct w:val="0"/>
        <w:autoSpaceDE/>
        <w:autoSpaceDN/>
        <w:adjustRightInd/>
        <w:spacing w:line="297" w:lineRule="exact"/>
        <w:ind w:left="72"/>
        <w:textAlignment w:val="baseline"/>
        <w:rPr>
          <w:spacing w:val="4"/>
          <w:sz w:val="26"/>
          <w:szCs w:val="26"/>
          <w:lang w:val="es-ES" w:eastAsia="es-ES"/>
        </w:rPr>
      </w:pPr>
      <w:r>
        <w:rPr>
          <w:spacing w:val="4"/>
          <w:sz w:val="26"/>
          <w:szCs w:val="26"/>
          <w:lang w:val="es-ES" w:eastAsia="es-ES"/>
        </w:rPr>
        <w:t>Ley No. 9027 lo que dispone, literalmente, es lo siguiente:</w:t>
      </w:r>
    </w:p>
    <w:p w:rsidR="007777D9" w:rsidRDefault="007777D9">
      <w:pPr>
        <w:kinsoku w:val="0"/>
        <w:overflowPunct w:val="0"/>
        <w:autoSpaceDE/>
        <w:autoSpaceDN/>
        <w:adjustRightInd/>
        <w:spacing w:before="294" w:after="437" w:line="334" w:lineRule="exact"/>
        <w:ind w:left="648" w:right="648"/>
        <w:jc w:val="both"/>
        <w:textAlignment w:val="baseline"/>
        <w:rPr>
          <w:sz w:val="26"/>
          <w:szCs w:val="26"/>
          <w:lang w:val="es-ES" w:eastAsia="es-ES"/>
        </w:rPr>
      </w:pPr>
      <w:r>
        <w:rPr>
          <w:sz w:val="26"/>
          <w:szCs w:val="26"/>
          <w:lang w:val="es-ES" w:eastAsia="es-ES"/>
        </w:rPr>
        <w:t xml:space="preserve">..."Autorizase al Consejo de Transporte Público para que, durante los noventa días siguientes a la publicación de la presente ley, </w:t>
      </w:r>
      <w:r>
        <w:rPr>
          <w:b/>
          <w:bCs/>
          <w:sz w:val="30"/>
          <w:szCs w:val="30"/>
          <w:u w:val="single"/>
          <w:lang w:val="es-ES" w:eastAsia="es-ES"/>
        </w:rPr>
        <w:t>conozca y resuelva favorablemente</w:t>
      </w:r>
      <w:r>
        <w:rPr>
          <w:sz w:val="26"/>
          <w:szCs w:val="26"/>
          <w:lang w:val="es-ES" w:eastAsia="es-ES"/>
        </w:rPr>
        <w:t xml:space="preserve"> las gestiones de transmisibilidad de</w:t>
      </w:r>
    </w:p>
    <w:p w:rsidR="007777D9" w:rsidRDefault="007777D9">
      <w:pPr>
        <w:widowControl/>
        <w:rPr>
          <w:sz w:val="24"/>
          <w:szCs w:val="24"/>
        </w:rPr>
        <w:sectPr w:rsidR="007777D9">
          <w:pgSz w:w="12134" w:h="15840"/>
          <w:pgMar w:top="1420" w:right="1550" w:bottom="344" w:left="1584" w:header="720" w:footer="720" w:gutter="0"/>
          <w:cols w:space="720"/>
          <w:noEndnote/>
        </w:sectPr>
      </w:pPr>
    </w:p>
    <w:p w:rsidR="007777D9" w:rsidRDefault="007777D9">
      <w:pPr>
        <w:widowControl/>
        <w:rPr>
          <w:sz w:val="24"/>
          <w:szCs w:val="24"/>
        </w:rPr>
        <w:sectPr w:rsidR="007777D9">
          <w:type w:val="continuous"/>
          <w:pgSz w:w="12134" w:h="15840"/>
          <w:pgMar w:top="1420" w:right="1571" w:bottom="344" w:left="7389" w:header="720" w:footer="720" w:gutter="0"/>
          <w:cols w:space="720"/>
          <w:noEndnote/>
        </w:sectPr>
      </w:pPr>
    </w:p>
    <w:p w:rsidR="007777D9" w:rsidRDefault="007777D9">
      <w:pPr>
        <w:kinsoku w:val="0"/>
        <w:overflowPunct w:val="0"/>
        <w:autoSpaceDE/>
        <w:autoSpaceDN/>
        <w:adjustRightInd/>
        <w:spacing w:line="301" w:lineRule="exact"/>
        <w:ind w:left="648" w:right="648"/>
        <w:jc w:val="both"/>
        <w:textAlignment w:val="baseline"/>
        <w:rPr>
          <w:i/>
          <w:iCs/>
          <w:spacing w:val="13"/>
          <w:sz w:val="24"/>
          <w:szCs w:val="24"/>
          <w:lang w:val="es-ES" w:eastAsia="es-ES"/>
        </w:rPr>
      </w:pPr>
      <w:r>
        <w:rPr>
          <w:spacing w:val="13"/>
          <w:sz w:val="24"/>
          <w:szCs w:val="24"/>
          <w:lang w:val="es-ES" w:eastAsia="es-ES"/>
        </w:rPr>
        <w:lastRenderedPageBreak/>
        <w:t xml:space="preserve">derechos por muerte de la persona concesionaria en el servicio público de taxis, acaecidas entre quienes contaban con contratos de explotación del servicio."... </w:t>
      </w:r>
      <w:r>
        <w:rPr>
          <w:i/>
          <w:iCs/>
          <w:spacing w:val="13"/>
          <w:sz w:val="24"/>
          <w:szCs w:val="24"/>
          <w:lang w:val="es-ES" w:eastAsia="es-ES"/>
        </w:rPr>
        <w:t>(el destacado es nuestro)</w:t>
      </w:r>
    </w:p>
    <w:p w:rsidR="007777D9" w:rsidRDefault="007777D9">
      <w:pPr>
        <w:kinsoku w:val="0"/>
        <w:overflowPunct w:val="0"/>
        <w:autoSpaceDE/>
        <w:autoSpaceDN/>
        <w:adjustRightInd/>
        <w:spacing w:before="299" w:line="307" w:lineRule="exact"/>
        <w:ind w:left="72" w:right="72"/>
        <w:jc w:val="both"/>
        <w:textAlignment w:val="baseline"/>
        <w:rPr>
          <w:spacing w:val="9"/>
          <w:sz w:val="24"/>
          <w:szCs w:val="24"/>
          <w:lang w:val="es-ES" w:eastAsia="es-ES"/>
        </w:rPr>
      </w:pPr>
      <w:r>
        <w:rPr>
          <w:spacing w:val="9"/>
          <w:sz w:val="24"/>
          <w:szCs w:val="24"/>
          <w:lang w:val="es-ES" w:eastAsia="es-ES"/>
        </w:rPr>
        <w:t>Nótese que el Enunciado Normativo anterior, el cual estimamos como un Enunciado de Derecho Material, pese a estar contenido en una Disposición Transitoria, según lo que sobre el tema expresa el Dictamen C-043-2013 de la Procuraduría General de la República del 20 de Marzo del 2013:</w:t>
      </w:r>
    </w:p>
    <w:p w:rsidR="007777D9" w:rsidRDefault="007777D9">
      <w:pPr>
        <w:kinsoku w:val="0"/>
        <w:overflowPunct w:val="0"/>
        <w:autoSpaceDE/>
        <w:autoSpaceDN/>
        <w:adjustRightInd/>
        <w:spacing w:before="369" w:line="282" w:lineRule="exact"/>
        <w:ind w:left="648" w:right="648"/>
        <w:jc w:val="both"/>
        <w:textAlignment w:val="baseline"/>
        <w:rPr>
          <w:spacing w:val="8"/>
          <w:sz w:val="24"/>
          <w:szCs w:val="24"/>
          <w:lang w:val="es-ES" w:eastAsia="es-ES"/>
        </w:rPr>
      </w:pPr>
      <w:r>
        <w:rPr>
          <w:spacing w:val="8"/>
          <w:sz w:val="24"/>
          <w:szCs w:val="24"/>
          <w:lang w:val="es-ES" w:eastAsia="es-ES"/>
        </w:rPr>
        <w:t>..."Ahora bien, recordemos que el derecho transitorio es una técnica jurídica que busca dar respuesta a los problemas de aplicación de las normas en el tiempo, que se produce a raíz de la derogatoria y la vigencia de otra, en la que se hace necesario adaptar las situaciones prevalecientes a la realidad que crea la nueva ley. Como bien lo ha indicado la Procuraduría:</w:t>
      </w:r>
    </w:p>
    <w:p w:rsidR="007777D9" w:rsidRDefault="007777D9">
      <w:pPr>
        <w:kinsoku w:val="0"/>
        <w:overflowPunct w:val="0"/>
        <w:autoSpaceDE/>
        <w:autoSpaceDN/>
        <w:adjustRightInd/>
        <w:spacing w:before="298" w:line="284" w:lineRule="exact"/>
        <w:ind w:left="648" w:right="648"/>
        <w:jc w:val="both"/>
        <w:textAlignment w:val="baseline"/>
        <w:rPr>
          <w:i/>
          <w:iCs/>
          <w:spacing w:val="3"/>
          <w:sz w:val="24"/>
          <w:szCs w:val="24"/>
          <w:lang w:val="es-ES" w:eastAsia="es-ES"/>
        </w:rPr>
      </w:pPr>
      <w:r>
        <w:rPr>
          <w:i/>
          <w:iCs/>
          <w:spacing w:val="3"/>
          <w:sz w:val="24"/>
          <w:szCs w:val="24"/>
          <w:u w:val="single"/>
          <w:lang w:val="es-ES" w:eastAsia="es-ES"/>
        </w:rPr>
        <w:t>"Las disposiciones transitorias forman parte del Derecho Intertemporal en  cuanto tienen a solucionar conflictos de leyes. Ante los problemas de transitoriedad que la ley nueva produce, el legislador establece un régimen  jurídico aplicable a las situaciones jurídicas pendientes. En ese sentido, la  función de las llamadas disposiciones transitorias es la de regular en forma  temporal determinadas situaciones, con el fin de ajustar o acomodar la  normativa nueva o la de dar un tratamiento distinto y temporal, de carácter excepcional, a ciertas situaciones.</w:t>
      </w:r>
      <w:r>
        <w:rPr>
          <w:i/>
          <w:iCs/>
          <w:spacing w:val="3"/>
          <w:sz w:val="24"/>
          <w:szCs w:val="24"/>
          <w:lang w:val="es-ES" w:eastAsia="es-ES"/>
        </w:rPr>
        <w:t xml:space="preserve"> Hechos que no se pretende comprender dentro de esas nuevas regulaciones generales. Interesa resaltar que en la base de la norma transitoria se encuentra esa necesidad de responder a problemas planteados por la entrada en vigencia de la nueva ley; esa es su esencia. Se ha dicho que el contenido de las disposiciones transitorias consiste en:</w:t>
      </w:r>
    </w:p>
    <w:p w:rsidR="007777D9" w:rsidRDefault="007777D9">
      <w:pPr>
        <w:kinsoku w:val="0"/>
        <w:overflowPunct w:val="0"/>
        <w:autoSpaceDE/>
        <w:autoSpaceDN/>
        <w:adjustRightInd/>
        <w:spacing w:before="289" w:line="286" w:lineRule="exact"/>
        <w:ind w:left="648" w:right="648"/>
        <w:jc w:val="both"/>
        <w:textAlignment w:val="baseline"/>
        <w:rPr>
          <w:i/>
          <w:iCs/>
          <w:sz w:val="24"/>
          <w:szCs w:val="24"/>
          <w:lang w:val="es-ES" w:eastAsia="es-ES"/>
        </w:rPr>
      </w:pPr>
      <w:r>
        <w:rPr>
          <w:i/>
          <w:iCs/>
          <w:sz w:val="24"/>
          <w:szCs w:val="24"/>
          <w:lang w:val="es-ES" w:eastAsia="es-ES"/>
        </w:rPr>
        <w:t>'a) Las reglas que regulan el régimen jurídico aplicable a las situaciones jurídicas previas a la ley, bien declarando la aplicación de la nueva, bien declarando la pervivencia de la ley antigua, bien estableciendo un régimen transitorio distinto del establecido en ambas leyes.</w:t>
      </w:r>
    </w:p>
    <w:p w:rsidR="007777D9" w:rsidRDefault="007777D9">
      <w:pPr>
        <w:kinsoku w:val="0"/>
        <w:overflowPunct w:val="0"/>
        <w:autoSpaceDE/>
        <w:autoSpaceDN/>
        <w:adjustRightInd/>
        <w:spacing w:before="280" w:line="286" w:lineRule="exact"/>
        <w:ind w:left="648" w:right="648"/>
        <w:jc w:val="both"/>
        <w:textAlignment w:val="baseline"/>
        <w:rPr>
          <w:i/>
          <w:iCs/>
          <w:spacing w:val="-1"/>
          <w:sz w:val="24"/>
          <w:szCs w:val="24"/>
          <w:lang w:val="es-ES" w:eastAsia="es-ES"/>
        </w:rPr>
      </w:pPr>
      <w:r>
        <w:rPr>
          <w:i/>
          <w:iCs/>
          <w:spacing w:val="-1"/>
          <w:sz w:val="24"/>
          <w:szCs w:val="24"/>
          <w:lang w:val="es-ES" w:eastAsia="es-ES"/>
        </w:rPr>
        <w:t>b. Los preceptos que regulan en forma provisional situaciones jurídicas nuevas cuando su finalidad sea la de facilitar la aplicación definitiva de la ley nueva..." F. SAUBS M.-J.C, DA SILVA, citado por C.M, VALVERDE ACOSTA, Manual de Técnica Legislativa, Comisión Nacional para el Mejoramiento de la Administración de Justicia, San José, Asamblea Legislativa, 1991, p. 211. Regulación del régimen jurídico aplicable a situación jurídica previa o bien, regulación con carácter provisional de situaciones jurídicas nuevas. En el</w:t>
      </w:r>
    </w:p>
    <w:p w:rsidR="007777D9" w:rsidRDefault="007777D9">
      <w:pPr>
        <w:tabs>
          <w:tab w:val="left" w:pos="2232"/>
          <w:tab w:val="left" w:pos="3960"/>
          <w:tab w:val="left" w:pos="5328"/>
          <w:tab w:val="left" w:pos="7488"/>
        </w:tabs>
        <w:kinsoku w:val="0"/>
        <w:overflowPunct w:val="0"/>
        <w:autoSpaceDE/>
        <w:autoSpaceDN/>
        <w:adjustRightInd/>
        <w:spacing w:after="842" w:line="286" w:lineRule="exact"/>
        <w:ind w:left="648"/>
        <w:jc w:val="both"/>
        <w:textAlignment w:val="baseline"/>
        <w:rPr>
          <w:i/>
          <w:iCs/>
          <w:sz w:val="24"/>
          <w:szCs w:val="24"/>
          <w:lang w:val="es-ES" w:eastAsia="es-ES"/>
        </w:rPr>
      </w:pPr>
      <w:r>
        <w:rPr>
          <w:i/>
          <w:iCs/>
          <w:sz w:val="24"/>
          <w:szCs w:val="24"/>
          <w:lang w:val="es-ES" w:eastAsia="es-ES"/>
        </w:rPr>
        <w:t>mismo</w:t>
      </w:r>
      <w:r>
        <w:rPr>
          <w:i/>
          <w:iCs/>
          <w:sz w:val="24"/>
          <w:szCs w:val="24"/>
          <w:lang w:val="es-ES" w:eastAsia="es-ES"/>
        </w:rPr>
        <w:tab/>
        <w:t>sentido,</w:t>
      </w:r>
      <w:r>
        <w:rPr>
          <w:i/>
          <w:iCs/>
          <w:sz w:val="24"/>
          <w:szCs w:val="24"/>
          <w:lang w:val="es-ES" w:eastAsia="es-ES"/>
        </w:rPr>
        <w:tab/>
        <w:t>Luis</w:t>
      </w:r>
      <w:r>
        <w:rPr>
          <w:i/>
          <w:iCs/>
          <w:sz w:val="24"/>
          <w:szCs w:val="24"/>
          <w:lang w:val="es-ES" w:eastAsia="es-ES"/>
        </w:rPr>
        <w:tab/>
        <w:t>Diez-Picazo</w:t>
      </w:r>
      <w:r>
        <w:rPr>
          <w:i/>
          <w:iCs/>
          <w:sz w:val="24"/>
          <w:szCs w:val="24"/>
          <w:lang w:val="es-ES" w:eastAsia="es-ES"/>
        </w:rPr>
        <w:tab/>
        <w:t>expresa:</w:t>
      </w:r>
    </w:p>
    <w:p w:rsidR="007777D9" w:rsidRDefault="007777D9">
      <w:pPr>
        <w:widowControl/>
        <w:rPr>
          <w:sz w:val="24"/>
          <w:szCs w:val="24"/>
        </w:rPr>
        <w:sectPr w:rsidR="007777D9">
          <w:pgSz w:w="12134" w:h="15840"/>
          <w:pgMar w:top="1420" w:right="1502" w:bottom="384" w:left="1632" w:header="720" w:footer="720" w:gutter="0"/>
          <w:cols w:space="720"/>
          <w:noEndnote/>
        </w:sectPr>
      </w:pPr>
    </w:p>
    <w:p w:rsidR="007777D9" w:rsidRDefault="007777D9">
      <w:pPr>
        <w:widowControl/>
        <w:rPr>
          <w:sz w:val="24"/>
          <w:szCs w:val="24"/>
        </w:rPr>
        <w:sectPr w:rsidR="007777D9">
          <w:type w:val="continuous"/>
          <w:pgSz w:w="12134" w:h="15840"/>
          <w:pgMar w:top="1420" w:right="1523" w:bottom="384" w:left="7437" w:header="720" w:footer="720" w:gutter="0"/>
          <w:cols w:space="720"/>
          <w:noEndnote/>
        </w:sectPr>
      </w:pPr>
    </w:p>
    <w:p w:rsidR="007777D9" w:rsidRDefault="007777D9">
      <w:pPr>
        <w:kinsoku w:val="0"/>
        <w:overflowPunct w:val="0"/>
        <w:autoSpaceDE/>
        <w:autoSpaceDN/>
        <w:adjustRightInd/>
        <w:spacing w:before="4" w:line="285" w:lineRule="exact"/>
        <w:jc w:val="both"/>
        <w:textAlignment w:val="baseline"/>
        <w:rPr>
          <w:i/>
          <w:iCs/>
          <w:spacing w:val="-1"/>
          <w:sz w:val="25"/>
          <w:szCs w:val="25"/>
          <w:lang w:val="es-ES" w:eastAsia="es-ES"/>
        </w:rPr>
      </w:pPr>
      <w:r>
        <w:rPr>
          <w:i/>
          <w:iCs/>
          <w:spacing w:val="-1"/>
          <w:sz w:val="25"/>
          <w:szCs w:val="25"/>
          <w:lang w:val="es-ES" w:eastAsia="es-ES"/>
        </w:rPr>
        <w:lastRenderedPageBreak/>
        <w:t xml:space="preserve">'En efecto, una disposición transitoria puede solucionar el conflicto de leyes estableciendo cuál de las dos -la antigua o la nueva ley- es la llamada a regular cada tipo de situación jurídica. Así, por ejemplo, puede ordenarse que las situaciones nacidas al amparo de la ley antigua continuarán rigiéndose en todo caso por ella. Esta clase de disposiciones transitorias contiene normas de conflictos en sentido estricto; es decir, no regulan directamente situación alguna, sino que a través de un punto de conexión determinan cuál de las leyes en conflicto es la aplicable. Junto a esta posibilidad, </w:t>
      </w:r>
      <w:r>
        <w:rPr>
          <w:i/>
          <w:iCs/>
          <w:spacing w:val="-1"/>
          <w:sz w:val="25"/>
          <w:szCs w:val="25"/>
          <w:u w:val="single"/>
          <w:lang w:val="es-ES" w:eastAsia="es-ES"/>
        </w:rPr>
        <w:t>cabe asimismo que el legislador dicte otra clase de  disposiciones transitorias, en virtud de las cuales se da una regulación  específica - diferente. por tanto, de las recogidas en la ley antigua y en la ley nueva-, a las situaciones pendientes al momento del cambio legislativo,</w:t>
      </w:r>
      <w:r>
        <w:rPr>
          <w:i/>
          <w:iCs/>
          <w:spacing w:val="-1"/>
          <w:sz w:val="25"/>
          <w:szCs w:val="25"/>
          <w:lang w:val="es-ES" w:eastAsia="es-ES"/>
        </w:rPr>
        <w:t xml:space="preserve"> o a las situaciones que se produzcan en tanto entra plenamente en vigor la nueva ley en los casos de eficacia diferida. </w:t>
      </w:r>
      <w:r>
        <w:rPr>
          <w:i/>
          <w:iCs/>
          <w:spacing w:val="-1"/>
          <w:sz w:val="25"/>
          <w:szCs w:val="25"/>
          <w:u w:val="single"/>
          <w:lang w:val="es-ES" w:eastAsia="es-ES"/>
        </w:rPr>
        <w:t xml:space="preserve">Este segundo tipo de disposiciones transitorias no contiene ya normas de conflicto en sentido técnico, sino por emplear de nuevo la terminología del Derecho Internacional </w:t>
      </w:r>
      <w:r w:rsidR="00370147">
        <w:rPr>
          <w:i/>
          <w:iCs/>
          <w:spacing w:val="-1"/>
          <w:sz w:val="25"/>
          <w:szCs w:val="25"/>
          <w:u w:val="single"/>
          <w:lang w:val="es-ES" w:eastAsia="es-ES"/>
        </w:rPr>
        <w:t>Privado, normas</w:t>
      </w:r>
      <w:r>
        <w:rPr>
          <w:i/>
          <w:iCs/>
          <w:spacing w:val="-1"/>
          <w:sz w:val="25"/>
          <w:szCs w:val="25"/>
          <w:u w:val="single"/>
          <w:lang w:val="es-ES" w:eastAsia="es-ES"/>
        </w:rPr>
        <w:t xml:space="preserve"> materiales, que imputan directamente a un supuesto de hecho </w:t>
      </w:r>
      <w:r w:rsidR="00370147">
        <w:rPr>
          <w:i/>
          <w:iCs/>
          <w:spacing w:val="-1"/>
          <w:sz w:val="25"/>
          <w:szCs w:val="25"/>
          <w:u w:val="single"/>
          <w:lang w:val="es-ES" w:eastAsia="es-ES"/>
        </w:rPr>
        <w:t>una consecuencia</w:t>
      </w:r>
      <w:r>
        <w:rPr>
          <w:i/>
          <w:iCs/>
          <w:spacing w:val="-1"/>
          <w:sz w:val="25"/>
          <w:szCs w:val="25"/>
          <w:u w:val="single"/>
          <w:lang w:val="es-ES" w:eastAsia="es-ES"/>
        </w:rPr>
        <w:t xml:space="preserve"> jurídica.</w:t>
      </w:r>
      <w:r>
        <w:rPr>
          <w:i/>
          <w:iCs/>
          <w:spacing w:val="-1"/>
          <w:sz w:val="25"/>
          <w:szCs w:val="25"/>
          <w:lang w:val="es-ES" w:eastAsia="es-ES"/>
        </w:rPr>
        <w:t xml:space="preserve"> Lo que hace a estas disposiciones poseer naturaleza intertemporal no es ya su estructura, sino que su supuesto de hecho contempla precisamente un problema de conflicto de leyes. De ahí, que se trate de normas con vigencia temporal limitada o leyes ad tempus, pues por definición se refieren a un número de posibles situaciones no indefinido; y de ahí también, que al contener normas materiales, puedan suscitar a su vez nuevos conflictos temporales con otras leyes. L, DIEZ-PICAZO: La derogación de las leyes, Civitas, Madrid, 1990, pp. 193-194'.</w:t>
      </w:r>
    </w:p>
    <w:p w:rsidR="007777D9" w:rsidRDefault="007777D9">
      <w:pPr>
        <w:kinsoku w:val="0"/>
        <w:overflowPunct w:val="0"/>
        <w:autoSpaceDE/>
        <w:autoSpaceDN/>
        <w:adjustRightInd/>
        <w:spacing w:before="103" w:line="285" w:lineRule="exact"/>
        <w:jc w:val="both"/>
        <w:textAlignment w:val="baseline"/>
        <w:rPr>
          <w:i/>
          <w:iCs/>
          <w:sz w:val="25"/>
          <w:szCs w:val="25"/>
          <w:lang w:val="es-ES" w:eastAsia="es-ES"/>
        </w:rPr>
      </w:pPr>
      <w:r>
        <w:rPr>
          <w:i/>
          <w:iCs/>
          <w:sz w:val="25"/>
          <w:szCs w:val="25"/>
          <w:lang w:val="es-ES" w:eastAsia="es-ES"/>
        </w:rPr>
        <w:t>En el caso del Derecho transitorio material existe una regulación material autónoma de situaciones jurídicas pendientes al momento de vigencia de la ley. Su particularidad reside en que el régimen se diferencia del establecido en la ley vieja y del que regirá con la ley nueva. Se suspende así la aplicación de la ley derogada pero se impide la aplicación inmediata de la ley nueva. De él se ha dicho que</w:t>
      </w:r>
    </w:p>
    <w:p w:rsidR="007777D9" w:rsidRDefault="007777D9">
      <w:pPr>
        <w:kinsoku w:val="0"/>
        <w:overflowPunct w:val="0"/>
        <w:autoSpaceDE/>
        <w:autoSpaceDN/>
        <w:adjustRightInd/>
        <w:spacing w:before="93" w:line="285" w:lineRule="exact"/>
        <w:jc w:val="both"/>
        <w:textAlignment w:val="baseline"/>
        <w:rPr>
          <w:i/>
          <w:iCs/>
          <w:sz w:val="25"/>
          <w:szCs w:val="25"/>
          <w:lang w:val="es-ES" w:eastAsia="es-ES"/>
        </w:rPr>
      </w:pPr>
      <w:r>
        <w:rPr>
          <w:i/>
          <w:iCs/>
          <w:sz w:val="25"/>
          <w:szCs w:val="25"/>
          <w:lang w:val="es-ES" w:eastAsia="es-ES"/>
        </w:rPr>
        <w:t>"...el legislador debe tener en cuenta que, al tratarse de un régimen excepcional, resulta vetada su aplicación extensiva por vía analógica a supuestos no especificados en la ley. Esta constatación abunda sin duda en la necesidad de que el legislador precise de forma explícita el ámbito de aplicación del derecho transitorio material: en los casos en los que exista duda acerca de su voluntad no se aplicará el derecho transitorio material". C, VIVER i Pi-SUNYER: "La parte final de las leyes". La forma de las leyes. Bosch Casa Editorial, Barcelona, 1986, p. 145.</w:t>
      </w:r>
    </w:p>
    <w:p w:rsidR="007777D9" w:rsidRDefault="00370147">
      <w:pPr>
        <w:kinsoku w:val="0"/>
        <w:overflowPunct w:val="0"/>
        <w:autoSpaceDE/>
        <w:autoSpaceDN/>
        <w:adjustRightInd/>
        <w:spacing w:before="104" w:line="285" w:lineRule="exact"/>
        <w:jc w:val="both"/>
        <w:textAlignment w:val="baseline"/>
        <w:rPr>
          <w:i/>
          <w:iCs/>
          <w:sz w:val="25"/>
          <w:szCs w:val="25"/>
          <w:lang w:val="es-ES" w:eastAsia="es-ES"/>
        </w:rPr>
      </w:pPr>
      <w:r>
        <w:rPr>
          <w:noProof/>
          <w:lang w:val="es-CR"/>
        </w:rPr>
        <mc:AlternateContent>
          <mc:Choice Requires="wps">
            <w:drawing>
              <wp:anchor distT="0" distB="0" distL="0" distR="0" simplePos="0" relativeHeight="251664384" behindDoc="0" locked="0" layoutInCell="0" allowOverlap="1">
                <wp:simplePos x="0" y="0"/>
                <wp:positionH relativeFrom="page">
                  <wp:posOffset>6339840</wp:posOffset>
                </wp:positionH>
                <wp:positionV relativeFrom="page">
                  <wp:posOffset>9064625</wp:posOffset>
                </wp:positionV>
                <wp:extent cx="932815" cy="177165"/>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7D9" w:rsidRDefault="007777D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99.2pt;margin-top:713.75pt;width:73.4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" o:allowincell="f" stroked="f">
                <v:fill opacity="0"/>
                <v:textbox inset="0,0,0,0">
                  <w:txbxContent>
                    <w:p w:rsidR="007777D9" w:rsidRDefault="007777D9">
                      <w:pPr>
                        <w:kinsoku w:val="0"/>
                        <w:overflowPunct w:val="0"/>
                        <w:autoSpaceDE/>
                        <w:autoSpaceDN/>
                        <w:adjustRightInd/>
                        <w:textAlignment w:val="baseline"/>
                        <w:rPr>
                          <w:sz w:val="24"/>
                          <w:szCs w:val="24"/>
                        </w:rPr>
                      </w:pPr>
                    </w:p>
                  </w:txbxContent>
                </v:textbox>
                <w10:wrap type="square" anchorx="page" anchory="page"/>
              </v:shape>
            </w:pict>
          </mc:Fallback>
        </mc:AlternateContent>
      </w:r>
      <w:r w:rsidR="007777D9">
        <w:rPr>
          <w:i/>
          <w:iCs/>
          <w:sz w:val="25"/>
          <w:szCs w:val="25"/>
          <w:lang w:val="es-ES" w:eastAsia="es-ES"/>
        </w:rPr>
        <w:t>Se habla, además, de disposiciones transitorias impropias cuando el legislador llama como transitorias a disposiciones cuyo objeto es el regular en forma autónoma y provisional situaciones jurídicas nuevas. Esa regulación diferente pero provisional se funda en la necesidad de evitar problemas o de facilitar la solución a los que se presentan. En ese sentido, el "transitorio" facilita la aplicación definitiva de la ley nueva. De allí su</w:t>
      </w:r>
    </w:p>
    <w:p w:rsidR="007777D9" w:rsidRDefault="007777D9">
      <w:pPr>
        <w:widowControl/>
        <w:rPr>
          <w:sz w:val="24"/>
          <w:szCs w:val="24"/>
        </w:rPr>
        <w:sectPr w:rsidR="007777D9">
          <w:pgSz w:w="12134" w:h="15840"/>
          <w:pgMar w:top="1420" w:right="2150" w:bottom="220" w:left="2232" w:header="720" w:footer="720" w:gutter="0"/>
          <w:cols w:space="720"/>
          <w:noEndnote/>
        </w:sectPr>
      </w:pPr>
    </w:p>
    <w:p w:rsidR="007777D9" w:rsidRDefault="007777D9">
      <w:pPr>
        <w:kinsoku w:val="0"/>
        <w:overflowPunct w:val="0"/>
        <w:autoSpaceDE/>
        <w:autoSpaceDN/>
        <w:adjustRightInd/>
        <w:spacing w:before="15" w:line="286" w:lineRule="exact"/>
        <w:ind w:left="576" w:right="1224"/>
        <w:jc w:val="both"/>
        <w:textAlignment w:val="baseline"/>
        <w:rPr>
          <w:i/>
          <w:iCs/>
          <w:sz w:val="25"/>
          <w:szCs w:val="25"/>
          <w:lang w:val="es-ES" w:eastAsia="es-ES"/>
        </w:rPr>
      </w:pPr>
      <w:r>
        <w:rPr>
          <w:i/>
          <w:iCs/>
          <w:sz w:val="25"/>
          <w:szCs w:val="25"/>
          <w:lang w:val="es-ES" w:eastAsia="es-ES"/>
        </w:rPr>
        <w:lastRenderedPageBreak/>
        <w:t>carácter provisional (C, VI VER i Pi-SUNYER, p.152). Su ámbito es normalmente lo relativo a procedimientos: se establecen procedimientos especiales o provisionales que deberán ser sustituidos por las regulaciones generales contenidas en la ley, o bien disposiciones específicas en orden a la primera integración de un organismo que surge a la vida jurídica.</w:t>
      </w:r>
    </w:p>
    <w:p w:rsidR="007777D9" w:rsidRDefault="007777D9">
      <w:pPr>
        <w:kinsoku w:val="0"/>
        <w:overflowPunct w:val="0"/>
        <w:autoSpaceDE/>
        <w:autoSpaceDN/>
        <w:adjustRightInd/>
        <w:spacing w:before="89" w:line="286" w:lineRule="exact"/>
        <w:ind w:left="576" w:right="1224"/>
        <w:jc w:val="both"/>
        <w:textAlignment w:val="baseline"/>
        <w:rPr>
          <w:i/>
          <w:iCs/>
          <w:spacing w:val="-2"/>
          <w:sz w:val="25"/>
          <w:szCs w:val="25"/>
          <w:lang w:val="es-ES" w:eastAsia="es-ES"/>
        </w:rPr>
      </w:pPr>
      <w:r>
        <w:rPr>
          <w:i/>
          <w:iCs/>
          <w:spacing w:val="-2"/>
          <w:sz w:val="25"/>
          <w:szCs w:val="25"/>
          <w:lang w:val="es-ES" w:eastAsia="es-ES"/>
        </w:rPr>
        <w:t>Por otra parte, puede suceder que una determinada disposición incluida por el legislador como transitoria no tenga ni uno ni otro objeto. Es decir que el legislador incorpore como disposición transitoria una norma que del todo no es derecho intertemporal; por lo que en modo alguno se dirija a facilitar el tránsito entre la ley vieja y la nueva, particularmente en orden a las situaciones jurídicas pendientes. Este supuesto es fuente de confusión en el intérprete e impide cumplir la función de la norma transitoria, máxime si se trata de prescripciones, mandatos normativos para situaciones futuras, que bien podrían estar contenidos en el articulado o parte dispositiva.</w:t>
      </w:r>
    </w:p>
    <w:p w:rsidR="007777D9" w:rsidRDefault="007777D9">
      <w:pPr>
        <w:kinsoku w:val="0"/>
        <w:overflowPunct w:val="0"/>
        <w:autoSpaceDE/>
        <w:autoSpaceDN/>
        <w:adjustRightInd/>
        <w:spacing w:before="112" w:line="284" w:lineRule="exact"/>
        <w:ind w:left="576" w:right="1224"/>
        <w:jc w:val="both"/>
        <w:textAlignment w:val="baseline"/>
        <w:rPr>
          <w:i/>
          <w:iCs/>
          <w:sz w:val="25"/>
          <w:szCs w:val="25"/>
          <w:lang w:val="es-ES" w:eastAsia="es-ES"/>
        </w:rPr>
      </w:pPr>
      <w:r>
        <w:rPr>
          <w:i/>
          <w:iCs/>
          <w:sz w:val="25"/>
          <w:szCs w:val="25"/>
          <w:lang w:val="es-ES" w:eastAsia="es-ES"/>
        </w:rPr>
        <w:t xml:space="preserve">Es de advertir, por demás, que la vigencia de los transitorios, propios o impropios, está en función del objeto del derecho intertemporal. De modo que, salvo disposición expresa en orden a su temporalidad, el derecho transitorio se mantiene en tanto sea necesario dar respuesta a esas situaciones pendientes. En ese sentido, la pervivencia de éstas determina muchas veces la vigencia y la eficacia del derecho transitorio. </w:t>
      </w:r>
      <w:r>
        <w:rPr>
          <w:b/>
          <w:bCs/>
          <w:i/>
          <w:iCs/>
          <w:sz w:val="25"/>
          <w:szCs w:val="25"/>
          <w:lang w:val="es-ES" w:eastAsia="es-ES"/>
        </w:rPr>
        <w:t xml:space="preserve">Se sigue de ello que desaparecida la razón que justifica la norma, el transitorio pierde su vigencia y eficacia. Ello justifica que algunos autores califiquen el derecho transitorio como un derecho temporal e incluso provisional, rechazando la posibilidad de que tenga carácter permanente </w:t>
      </w:r>
      <w:r>
        <w:rPr>
          <w:i/>
          <w:iCs/>
          <w:sz w:val="25"/>
          <w:szCs w:val="25"/>
          <w:lang w:val="es-ES" w:eastAsia="es-ES"/>
        </w:rPr>
        <w:t>(así, F, MESSINEO: Manual de Derecho civil y Comercial, 1, Editorial Jurídica Europa-América, Buenos Aires, 1954, p. 92)." Lo subrayado no es del original.</w:t>
      </w:r>
    </w:p>
    <w:p w:rsidR="007777D9" w:rsidRDefault="007777D9">
      <w:pPr>
        <w:kinsoku w:val="0"/>
        <w:overflowPunct w:val="0"/>
        <w:autoSpaceDE/>
        <w:autoSpaceDN/>
        <w:adjustRightInd/>
        <w:spacing w:before="403" w:line="282" w:lineRule="exact"/>
        <w:ind w:left="576" w:right="1224"/>
        <w:jc w:val="both"/>
        <w:textAlignment w:val="baseline"/>
        <w:rPr>
          <w:b/>
          <w:bCs/>
          <w:i/>
          <w:iCs/>
          <w:sz w:val="25"/>
          <w:szCs w:val="25"/>
          <w:lang w:val="es-ES" w:eastAsia="es-ES"/>
        </w:rPr>
      </w:pPr>
      <w:r>
        <w:rPr>
          <w:sz w:val="25"/>
          <w:szCs w:val="25"/>
          <w:lang w:val="es-ES" w:eastAsia="es-ES"/>
        </w:rPr>
        <w:t xml:space="preserve">Corno bien lo indicó la Procuraduría, en el Dictamen transcrito, la función de las llamadas disposiciones transitorias es la de regular en forma temporal determinadas situaciones, con el fin de ajustar o acomodar la normativa nueva o la de dar un tratamiento distinto y temporal, de carácter excepcional, a ciertas situaciones."... </w:t>
      </w:r>
      <w:r>
        <w:rPr>
          <w:b/>
          <w:bCs/>
          <w:i/>
          <w:iCs/>
          <w:sz w:val="25"/>
          <w:szCs w:val="25"/>
          <w:lang w:val="es-ES" w:eastAsia="es-ES"/>
        </w:rPr>
        <w:t>(el resaltado es nuestro)</w:t>
      </w:r>
    </w:p>
    <w:p w:rsidR="007777D9" w:rsidRDefault="007777D9">
      <w:pPr>
        <w:kinsoku w:val="0"/>
        <w:overflowPunct w:val="0"/>
        <w:autoSpaceDE/>
        <w:autoSpaceDN/>
        <w:adjustRightInd/>
        <w:spacing w:before="304" w:line="310" w:lineRule="exact"/>
        <w:ind w:right="576"/>
        <w:jc w:val="both"/>
        <w:textAlignment w:val="baseline"/>
        <w:rPr>
          <w:sz w:val="25"/>
          <w:szCs w:val="25"/>
          <w:lang w:val="es-ES" w:eastAsia="es-ES"/>
        </w:rPr>
      </w:pPr>
      <w:r>
        <w:rPr>
          <w:sz w:val="25"/>
          <w:szCs w:val="25"/>
          <w:lang w:val="es-ES" w:eastAsia="es-ES"/>
        </w:rPr>
        <w:t xml:space="preserve">Además, la Norma referida </w:t>
      </w:r>
      <w:r>
        <w:rPr>
          <w:i/>
          <w:iCs/>
          <w:sz w:val="25"/>
          <w:szCs w:val="25"/>
          <w:lang w:val="es-ES" w:eastAsia="es-ES"/>
        </w:rPr>
        <w:t xml:space="preserve">(TRANSITORIO ÚNICO </w:t>
      </w:r>
      <w:r>
        <w:rPr>
          <w:b/>
          <w:bCs/>
          <w:i/>
          <w:iCs/>
          <w:sz w:val="25"/>
          <w:szCs w:val="25"/>
          <w:lang w:val="es-ES" w:eastAsia="es-ES"/>
        </w:rPr>
        <w:t xml:space="preserve">DE LA </w:t>
      </w:r>
      <w:r>
        <w:rPr>
          <w:i/>
          <w:iCs/>
          <w:sz w:val="25"/>
          <w:szCs w:val="25"/>
          <w:lang w:val="es-ES" w:eastAsia="es-ES"/>
        </w:rPr>
        <w:t xml:space="preserve">LEY No. 90277 </w:t>
      </w:r>
      <w:r>
        <w:rPr>
          <w:b/>
          <w:bCs/>
          <w:sz w:val="25"/>
          <w:szCs w:val="25"/>
          <w:lang w:val="es-ES" w:eastAsia="es-ES"/>
        </w:rPr>
        <w:t xml:space="preserve">NO CONTIENE UNA DETERMINACIÓN TAL QUE SE PERMITA AL CONSEJO DE TRANSPORTE PÚBLICO UN RECHAZO DE LOS TRÁMITES EN PENDENCIA ANTES DE LA EMISIÓN DE LA LEY No. 9027 0 PRESENTADOS DURANTE EL PLAZO DISPUESTO EN SU REFERIDO TRANSITORIO. </w:t>
      </w:r>
      <w:r>
        <w:rPr>
          <w:sz w:val="25"/>
          <w:szCs w:val="25"/>
          <w:lang w:val="es-ES" w:eastAsia="es-ES"/>
        </w:rPr>
        <w:t>Si no que lo que se dispone es una RESOLUCIÓN FAVORABLE, tal como lo ha señalado este Tribunal en otras Oportunidades al disponer:</w:t>
      </w:r>
    </w:p>
    <w:p w:rsidR="007777D9" w:rsidRDefault="007777D9">
      <w:pPr>
        <w:kinsoku w:val="0"/>
        <w:overflowPunct w:val="0"/>
        <w:autoSpaceDE/>
        <w:autoSpaceDN/>
        <w:adjustRightInd/>
        <w:spacing w:before="307" w:line="293" w:lineRule="exact"/>
        <w:ind w:left="576" w:right="1224"/>
        <w:jc w:val="both"/>
        <w:textAlignment w:val="baseline"/>
        <w:rPr>
          <w:sz w:val="25"/>
          <w:szCs w:val="25"/>
          <w:lang w:val="es-ES" w:eastAsia="es-ES"/>
        </w:rPr>
      </w:pPr>
      <w:r>
        <w:rPr>
          <w:sz w:val="25"/>
          <w:szCs w:val="25"/>
          <w:lang w:val="es-ES" w:eastAsia="es-ES"/>
        </w:rPr>
        <w:t>..."No obstante lo anterior como se indicó supra la Ley 9027 tiene un transitorio que indica:</w:t>
      </w:r>
    </w:p>
    <w:p w:rsidR="007777D9" w:rsidRDefault="007777D9">
      <w:pPr>
        <w:widowControl/>
        <w:rPr>
          <w:sz w:val="24"/>
          <w:szCs w:val="24"/>
        </w:rPr>
        <w:sectPr w:rsidR="007777D9">
          <w:pgSz w:w="12134" w:h="15840"/>
          <w:pgMar w:top="1400" w:right="974" w:bottom="344" w:left="1680" w:header="720" w:footer="720" w:gutter="0"/>
          <w:cols w:space="720"/>
          <w:noEndnote/>
        </w:sectPr>
      </w:pPr>
    </w:p>
    <w:p w:rsidR="007777D9" w:rsidRDefault="007777D9">
      <w:pPr>
        <w:kinsoku w:val="0"/>
        <w:overflowPunct w:val="0"/>
        <w:autoSpaceDE/>
        <w:autoSpaceDN/>
        <w:adjustRightInd/>
        <w:spacing w:before="9" w:line="277" w:lineRule="exact"/>
        <w:ind w:left="648"/>
        <w:textAlignment w:val="baseline"/>
        <w:rPr>
          <w:rFonts w:ascii="Garamond" w:hAnsi="Garamond" w:cs="Garamond"/>
          <w:sz w:val="24"/>
          <w:szCs w:val="24"/>
          <w:lang w:eastAsia="en-US"/>
        </w:rPr>
      </w:pPr>
      <w:r>
        <w:rPr>
          <w:rFonts w:ascii="Garamond" w:hAnsi="Garamond" w:cs="Garamond"/>
          <w:b/>
          <w:bCs/>
          <w:i/>
          <w:iCs/>
          <w:spacing w:val="-2"/>
          <w:sz w:val="23"/>
          <w:szCs w:val="23"/>
          <w:lang w:val="es-ES" w:eastAsia="es-ES"/>
        </w:rPr>
        <w:lastRenderedPageBreak/>
        <w:t>"TRANSITORIO.</w:t>
      </w:r>
      <w:r>
        <w:rPr>
          <w:rFonts w:ascii="Garamond" w:hAnsi="Garamond" w:cs="Garamond"/>
          <w:b/>
          <w:bCs/>
          <w:i/>
          <w:iCs/>
          <w:spacing w:val="-2"/>
          <w:sz w:val="23"/>
          <w:szCs w:val="23"/>
          <w:lang w:val="es-ES" w:eastAsia="es-ES"/>
        </w:rPr>
        <w:noBreakHyphen/>
      </w:r>
    </w:p>
    <w:p w:rsidR="007777D9" w:rsidRDefault="007777D9">
      <w:pPr>
        <w:kinsoku w:val="0"/>
        <w:overflowPunct w:val="0"/>
        <w:autoSpaceDE/>
        <w:autoSpaceDN/>
        <w:adjustRightInd/>
        <w:spacing w:before="279" w:line="286" w:lineRule="exact"/>
        <w:ind w:left="648" w:right="1152"/>
        <w:jc w:val="both"/>
        <w:textAlignment w:val="baseline"/>
        <w:rPr>
          <w:i/>
          <w:iCs/>
          <w:sz w:val="26"/>
          <w:szCs w:val="26"/>
          <w:lang w:val="es-ES" w:eastAsia="es-ES"/>
        </w:rPr>
      </w:pPr>
      <w:r>
        <w:rPr>
          <w:i/>
          <w:iCs/>
          <w:sz w:val="26"/>
          <w:szCs w:val="26"/>
          <w:lang w:val="es-ES" w:eastAsia="es-ES"/>
        </w:rPr>
        <w:t xml:space="preserve">Autorizase al Consejo de Transporte Público para que, </w:t>
      </w:r>
      <w:r>
        <w:rPr>
          <w:b/>
          <w:bCs/>
          <w:i/>
          <w:iCs/>
          <w:sz w:val="26"/>
          <w:szCs w:val="26"/>
          <w:u w:val="single"/>
          <w:lang w:val="es-ES" w:eastAsia="es-ES"/>
        </w:rPr>
        <w:t>durante los noventa  días siguientes a la publicación de la presente l</w:t>
      </w:r>
      <w:r w:rsidR="00370147">
        <w:rPr>
          <w:b/>
          <w:bCs/>
          <w:i/>
          <w:iCs/>
          <w:sz w:val="26"/>
          <w:szCs w:val="26"/>
          <w:u w:val="single"/>
          <w:lang w:val="es-ES" w:eastAsia="es-ES"/>
        </w:rPr>
        <w:t>ey</w:t>
      </w:r>
      <w:r>
        <w:rPr>
          <w:b/>
          <w:bCs/>
          <w:i/>
          <w:iCs/>
          <w:sz w:val="26"/>
          <w:szCs w:val="26"/>
          <w:u w:val="single"/>
          <w:lang w:val="es-ES" w:eastAsia="es-ES"/>
        </w:rPr>
        <w:t xml:space="preserve">, conozca y resuelva  favorablemente las gestiones de transmisibilidad de derechos por muerte de la persona concesionaria en el servicio público de taxis, </w:t>
      </w:r>
      <w:r>
        <w:rPr>
          <w:i/>
          <w:iCs/>
          <w:sz w:val="26"/>
          <w:szCs w:val="26"/>
          <w:lang w:val="es-ES" w:eastAsia="es-ES"/>
        </w:rPr>
        <w:t>acaecidas entre quienes contaban con contratos de explotación del servicio. Transcurrido ese plazo, las que no se hayan gestionado se archivarán en forma definitiva con la consiguiente cancelación de la concesión administrativa correspondiente." (El Resaltado es nuestro)</w:t>
      </w:r>
    </w:p>
    <w:p w:rsidR="007777D9" w:rsidRDefault="007777D9">
      <w:pPr>
        <w:kinsoku w:val="0"/>
        <w:overflowPunct w:val="0"/>
        <w:autoSpaceDE/>
        <w:autoSpaceDN/>
        <w:adjustRightInd/>
        <w:spacing w:before="275" w:line="287" w:lineRule="exact"/>
        <w:ind w:left="648" w:right="1152"/>
        <w:jc w:val="both"/>
        <w:textAlignment w:val="baseline"/>
        <w:rPr>
          <w:spacing w:val="-3"/>
          <w:sz w:val="26"/>
          <w:szCs w:val="26"/>
          <w:lang w:val="es-ES" w:eastAsia="es-ES"/>
        </w:rPr>
      </w:pPr>
      <w:r>
        <w:rPr>
          <w:spacing w:val="-3"/>
          <w:sz w:val="26"/>
          <w:szCs w:val="26"/>
          <w:lang w:val="es-ES" w:eastAsia="es-ES"/>
        </w:rPr>
        <w:t xml:space="preserve">Es claro entonces, el mandato de la Ley, la que indica que el Consejo está Autorizado para que durante los noventa días siguientes a la publicación de la Ley 9027 conozca las solicitudes de traspaso </w:t>
      </w:r>
      <w:r w:rsidRPr="00370147">
        <w:rPr>
          <w:bCs/>
          <w:spacing w:val="-3"/>
          <w:sz w:val="26"/>
          <w:szCs w:val="26"/>
          <w:lang w:val="es-ES" w:eastAsia="es-ES"/>
        </w:rPr>
        <w:t>que se le</w:t>
      </w:r>
      <w:r>
        <w:rPr>
          <w:b/>
          <w:bCs/>
          <w:spacing w:val="-3"/>
          <w:sz w:val="26"/>
          <w:szCs w:val="26"/>
          <w:lang w:val="es-ES" w:eastAsia="es-ES"/>
        </w:rPr>
        <w:t xml:space="preserve"> </w:t>
      </w:r>
      <w:r>
        <w:rPr>
          <w:spacing w:val="-3"/>
          <w:sz w:val="26"/>
          <w:szCs w:val="26"/>
          <w:lang w:val="es-ES" w:eastAsia="es-ES"/>
        </w:rPr>
        <w:t xml:space="preserve">presenten y las resuelva </w:t>
      </w:r>
      <w:r w:rsidRPr="00370147">
        <w:rPr>
          <w:b/>
          <w:spacing w:val="-3"/>
          <w:sz w:val="22"/>
          <w:szCs w:val="22"/>
          <w:u w:val="single"/>
          <w:lang w:val="es-ES" w:eastAsia="es-ES"/>
        </w:rPr>
        <w:t>FAVORABLEMENTE</w:t>
      </w:r>
      <w:r>
        <w:rPr>
          <w:spacing w:val="-3"/>
          <w:sz w:val="22"/>
          <w:szCs w:val="22"/>
          <w:u w:val="single"/>
          <w:lang w:val="es-ES" w:eastAsia="es-ES"/>
        </w:rPr>
        <w:t>,</w:t>
      </w:r>
      <w:r>
        <w:rPr>
          <w:spacing w:val="-3"/>
          <w:sz w:val="26"/>
          <w:szCs w:val="26"/>
          <w:lang w:val="es-ES" w:eastAsia="es-ES"/>
        </w:rPr>
        <w:t xml:space="preserve"> por lo que habiendo sido dentro de dicho plazo presentada la solicitud de la aquí recurrente, debió resolverse el traspaso de la concesión de la Placa de taxi número </w:t>
      </w:r>
      <w:r>
        <w:rPr>
          <w:b/>
          <w:bCs/>
          <w:spacing w:val="-3"/>
          <w:sz w:val="26"/>
          <w:szCs w:val="26"/>
          <w:lang w:val="es-ES" w:eastAsia="es-ES"/>
        </w:rPr>
        <w:t>TSJ-</w:t>
      </w:r>
      <w:r w:rsidR="00370147">
        <w:rPr>
          <w:b/>
          <w:bCs/>
          <w:spacing w:val="-3"/>
          <w:sz w:val="26"/>
          <w:szCs w:val="26"/>
          <w:lang w:val="es-ES" w:eastAsia="es-ES"/>
        </w:rPr>
        <w:t>XXX</w:t>
      </w:r>
      <w:r>
        <w:rPr>
          <w:b/>
          <w:bCs/>
          <w:spacing w:val="-3"/>
          <w:sz w:val="26"/>
          <w:szCs w:val="26"/>
          <w:lang w:val="es-ES" w:eastAsia="es-ES"/>
        </w:rPr>
        <w:t xml:space="preserve">, </w:t>
      </w:r>
      <w:r>
        <w:rPr>
          <w:spacing w:val="-3"/>
          <w:sz w:val="26"/>
          <w:szCs w:val="26"/>
          <w:lang w:val="es-ES" w:eastAsia="es-ES"/>
        </w:rPr>
        <w:t xml:space="preserve">cuyo concesionario fue XXX esposo de </w:t>
      </w:r>
      <w:r>
        <w:rPr>
          <w:b/>
          <w:bCs/>
          <w:spacing w:val="-3"/>
          <w:sz w:val="26"/>
          <w:szCs w:val="26"/>
          <w:lang w:val="es-ES" w:eastAsia="es-ES"/>
        </w:rPr>
        <w:t xml:space="preserve">XXX, </w:t>
      </w:r>
      <w:r>
        <w:rPr>
          <w:spacing w:val="-3"/>
          <w:sz w:val="26"/>
          <w:szCs w:val="26"/>
          <w:lang w:val="es-ES" w:eastAsia="es-ES"/>
        </w:rPr>
        <w:t>de forma favorable a la petente.</w:t>
      </w:r>
    </w:p>
    <w:p w:rsidR="007777D9" w:rsidRDefault="007777D9">
      <w:pPr>
        <w:kinsoku w:val="0"/>
        <w:overflowPunct w:val="0"/>
        <w:autoSpaceDE/>
        <w:autoSpaceDN/>
        <w:adjustRightInd/>
        <w:spacing w:before="277" w:line="285" w:lineRule="exact"/>
        <w:ind w:left="648" w:right="1152"/>
        <w:jc w:val="both"/>
        <w:textAlignment w:val="baseline"/>
        <w:rPr>
          <w:b/>
          <w:bCs/>
          <w:sz w:val="26"/>
          <w:szCs w:val="26"/>
          <w:lang w:val="es-ES" w:eastAsia="es-ES"/>
        </w:rPr>
      </w:pPr>
      <w:r>
        <w:rPr>
          <w:sz w:val="26"/>
          <w:szCs w:val="26"/>
          <w:lang w:val="es-ES" w:eastAsia="es-ES"/>
        </w:rPr>
        <w:t xml:space="preserve">Por lo indicado considera este Tribunal Administrativo de Transporte, que debe declararse con lugar el Recurso presentado y ordenar al Consejo de Transporte Público a actuar como en derecho corresponde."... </w:t>
      </w:r>
      <w:r>
        <w:rPr>
          <w:b/>
          <w:bCs/>
          <w:sz w:val="26"/>
          <w:szCs w:val="26"/>
          <w:lang w:val="es-ES" w:eastAsia="es-ES"/>
        </w:rPr>
        <w:t>(Resolución No. TAT-2608-2015)</w:t>
      </w:r>
    </w:p>
    <w:p w:rsidR="007777D9" w:rsidRDefault="007777D9">
      <w:pPr>
        <w:tabs>
          <w:tab w:val="right" w:pos="9000"/>
        </w:tabs>
        <w:kinsoku w:val="0"/>
        <w:overflowPunct w:val="0"/>
        <w:autoSpaceDE/>
        <w:autoSpaceDN/>
        <w:adjustRightInd/>
        <w:spacing w:before="609" w:line="319" w:lineRule="exact"/>
        <w:ind w:left="72"/>
        <w:jc w:val="center"/>
        <w:textAlignment w:val="baseline"/>
        <w:rPr>
          <w:sz w:val="26"/>
          <w:szCs w:val="26"/>
          <w:lang w:val="es-ES" w:eastAsia="es-ES"/>
        </w:rPr>
      </w:pPr>
      <w:r>
        <w:rPr>
          <w:b/>
          <w:bCs/>
          <w:sz w:val="26"/>
          <w:szCs w:val="26"/>
          <w:lang w:val="es-ES" w:eastAsia="es-ES"/>
        </w:rPr>
        <w:t>3.-</w:t>
      </w:r>
      <w:r>
        <w:rPr>
          <w:b/>
          <w:bCs/>
          <w:sz w:val="26"/>
          <w:szCs w:val="26"/>
          <w:lang w:val="es-ES" w:eastAsia="es-ES"/>
        </w:rPr>
        <w:tab/>
        <w:t xml:space="preserve">Como </w:t>
      </w:r>
      <w:r>
        <w:rPr>
          <w:sz w:val="26"/>
          <w:szCs w:val="26"/>
          <w:lang w:val="es-ES" w:eastAsia="es-ES"/>
        </w:rPr>
        <w:t>un Aspecto Adicional, se tiene que los Requisitos que se han</w:t>
      </w:r>
    </w:p>
    <w:p w:rsidR="007777D9" w:rsidRDefault="007777D9">
      <w:pPr>
        <w:kinsoku w:val="0"/>
        <w:overflowPunct w:val="0"/>
        <w:autoSpaceDE/>
        <w:autoSpaceDN/>
        <w:adjustRightInd/>
        <w:spacing w:before="2" w:line="308" w:lineRule="exact"/>
        <w:ind w:left="72" w:right="504"/>
        <w:jc w:val="both"/>
        <w:textAlignment w:val="baseline"/>
        <w:rPr>
          <w:spacing w:val="5"/>
          <w:sz w:val="26"/>
          <w:szCs w:val="26"/>
          <w:lang w:val="es-ES" w:eastAsia="es-ES"/>
        </w:rPr>
      </w:pPr>
      <w:r>
        <w:rPr>
          <w:spacing w:val="5"/>
          <w:sz w:val="26"/>
          <w:szCs w:val="26"/>
          <w:lang w:val="es-ES" w:eastAsia="es-ES"/>
        </w:rPr>
        <w:t xml:space="preserve">Valorado y Requerido para Autorizar los Traspasos de Concesiones de Taxi Mortis Causa, son los mismos que se pedían en rigor de la Vigencia del Decreto Ejecutivo No. 34541-MOPT: </w:t>
      </w:r>
      <w:r>
        <w:rPr>
          <w:i/>
          <w:iCs/>
          <w:spacing w:val="5"/>
          <w:sz w:val="26"/>
          <w:szCs w:val="26"/>
          <w:lang w:val="es-ES" w:eastAsia="es-ES"/>
        </w:rPr>
        <w:t xml:space="preserve">"Autorización al Consejo de Transporte Público conforme a los Requisitos Previos para que Pueda Autorizar el Traspaso de la Concesión, en el Servicio Público de Taxi, cuando se Produjere la Muerte del Concesionario". </w:t>
      </w:r>
      <w:r>
        <w:rPr>
          <w:spacing w:val="5"/>
          <w:sz w:val="26"/>
          <w:szCs w:val="26"/>
          <w:lang w:val="es-ES" w:eastAsia="es-ES"/>
        </w:rPr>
        <w:t xml:space="preserve">Decreto cuya Aplicación fue Desaplicada según los términos y alcances del Dictamen No. C-074-2011 del 29 de Marzo del 2011 de la Procuraduría General de la República, el cual vino a determinar que ante Vicios de Exceso en la Potestad Reglamentaria y por No Existir Ninguna Norma Legal </w:t>
      </w:r>
      <w:r>
        <w:rPr>
          <w:i/>
          <w:iCs/>
          <w:spacing w:val="5"/>
          <w:sz w:val="26"/>
          <w:szCs w:val="26"/>
          <w:lang w:val="es-ES" w:eastAsia="es-ES"/>
        </w:rPr>
        <w:t xml:space="preserve">(sentido estricto y formal) </w:t>
      </w:r>
      <w:r>
        <w:rPr>
          <w:spacing w:val="5"/>
          <w:sz w:val="26"/>
          <w:szCs w:val="26"/>
          <w:lang w:val="es-ES" w:eastAsia="es-ES"/>
        </w:rPr>
        <w:t xml:space="preserve">que Autorizara el Traspaso </w:t>
      </w:r>
      <w:r>
        <w:rPr>
          <w:i/>
          <w:iCs/>
          <w:spacing w:val="5"/>
          <w:sz w:val="26"/>
          <w:szCs w:val="26"/>
          <w:lang w:val="es-ES" w:eastAsia="es-ES"/>
        </w:rPr>
        <w:t xml:space="preserve">Mortis Causa </w:t>
      </w:r>
      <w:r>
        <w:rPr>
          <w:spacing w:val="5"/>
          <w:sz w:val="26"/>
          <w:szCs w:val="26"/>
          <w:lang w:val="es-ES" w:eastAsia="es-ES"/>
        </w:rPr>
        <w:t>de las Concesiones de Taxi, el mismo era Improcedente.</w:t>
      </w:r>
    </w:p>
    <w:p w:rsidR="007777D9" w:rsidRDefault="007777D9">
      <w:pPr>
        <w:kinsoku w:val="0"/>
        <w:overflowPunct w:val="0"/>
        <w:autoSpaceDE/>
        <w:autoSpaceDN/>
        <w:adjustRightInd/>
        <w:spacing w:before="296" w:line="319" w:lineRule="exact"/>
        <w:ind w:left="72" w:right="504"/>
        <w:jc w:val="both"/>
        <w:textAlignment w:val="baseline"/>
        <w:rPr>
          <w:b/>
          <w:bCs/>
          <w:sz w:val="26"/>
          <w:szCs w:val="26"/>
          <w:u w:val="single"/>
          <w:lang w:val="es-ES" w:eastAsia="es-ES"/>
        </w:rPr>
      </w:pPr>
      <w:r>
        <w:rPr>
          <w:sz w:val="26"/>
          <w:szCs w:val="26"/>
          <w:lang w:val="es-ES" w:eastAsia="es-ES"/>
        </w:rPr>
        <w:t xml:space="preserve">Y dado que lo Principal </w:t>
      </w:r>
      <w:r>
        <w:rPr>
          <w:i/>
          <w:iCs/>
          <w:sz w:val="26"/>
          <w:szCs w:val="26"/>
          <w:lang w:val="es-ES" w:eastAsia="es-ES"/>
        </w:rPr>
        <w:t xml:space="preserve">(el Decreto) </w:t>
      </w:r>
      <w:r>
        <w:rPr>
          <w:sz w:val="26"/>
          <w:szCs w:val="26"/>
          <w:lang w:val="es-ES" w:eastAsia="es-ES"/>
        </w:rPr>
        <w:t xml:space="preserve">se </w:t>
      </w:r>
      <w:r>
        <w:rPr>
          <w:sz w:val="26"/>
          <w:szCs w:val="26"/>
          <w:u w:val="single"/>
          <w:lang w:val="es-ES" w:eastAsia="es-ES"/>
        </w:rPr>
        <w:t>dejó sin efecto,</w:t>
      </w:r>
      <w:r>
        <w:rPr>
          <w:sz w:val="26"/>
          <w:szCs w:val="26"/>
          <w:lang w:val="es-ES" w:eastAsia="es-ES"/>
        </w:rPr>
        <w:t xml:space="preserve"> lo Accesorio al mismo </w:t>
      </w:r>
      <w:r>
        <w:rPr>
          <w:i/>
          <w:iCs/>
          <w:sz w:val="26"/>
          <w:szCs w:val="26"/>
          <w:lang w:val="es-ES" w:eastAsia="es-ES"/>
        </w:rPr>
        <w:t xml:space="preserve">(requisitos posibles), </w:t>
      </w:r>
      <w:r>
        <w:rPr>
          <w:sz w:val="26"/>
          <w:szCs w:val="26"/>
          <w:lang w:val="es-ES" w:eastAsia="es-ES"/>
        </w:rPr>
        <w:t xml:space="preserve">también </w:t>
      </w:r>
      <w:r>
        <w:rPr>
          <w:b/>
          <w:bCs/>
          <w:sz w:val="26"/>
          <w:szCs w:val="26"/>
          <w:u w:val="single"/>
          <w:lang w:val="es-ES" w:eastAsia="es-ES"/>
        </w:rPr>
        <w:t>SE DEJARON SIN EFECTO.</w:t>
      </w:r>
    </w:p>
    <w:p w:rsidR="007777D9" w:rsidRDefault="007777D9">
      <w:pPr>
        <w:kinsoku w:val="0"/>
        <w:overflowPunct w:val="0"/>
        <w:autoSpaceDE/>
        <w:autoSpaceDN/>
        <w:adjustRightInd/>
        <w:spacing w:before="300" w:line="319" w:lineRule="exact"/>
        <w:ind w:left="72" w:right="504"/>
        <w:jc w:val="both"/>
        <w:textAlignment w:val="baseline"/>
        <w:rPr>
          <w:sz w:val="26"/>
          <w:szCs w:val="26"/>
          <w:lang w:val="es-ES" w:eastAsia="es-ES"/>
        </w:rPr>
      </w:pPr>
      <w:r>
        <w:rPr>
          <w:sz w:val="26"/>
          <w:szCs w:val="26"/>
          <w:lang w:val="es-ES" w:eastAsia="es-ES"/>
        </w:rPr>
        <w:t>Procediendo lo argumentado por la misma Recurrente en sentido de que se le Pidió Cumplir con Requisitos Innecesarios.</w:t>
      </w:r>
    </w:p>
    <w:p w:rsidR="007777D9" w:rsidRDefault="007777D9">
      <w:pPr>
        <w:widowControl/>
        <w:rPr>
          <w:sz w:val="24"/>
          <w:szCs w:val="24"/>
        </w:rPr>
        <w:sectPr w:rsidR="007777D9">
          <w:pgSz w:w="12134" w:h="15840"/>
          <w:pgMar w:top="1720" w:right="1053" w:bottom="364" w:left="1601" w:header="720" w:footer="720" w:gutter="0"/>
          <w:cols w:space="720"/>
          <w:noEndnote/>
        </w:sectPr>
      </w:pPr>
    </w:p>
    <w:p w:rsidR="007777D9" w:rsidRDefault="007777D9">
      <w:pPr>
        <w:kinsoku w:val="0"/>
        <w:overflowPunct w:val="0"/>
        <w:autoSpaceDE/>
        <w:autoSpaceDN/>
        <w:adjustRightInd/>
        <w:spacing w:before="7" w:line="311" w:lineRule="exact"/>
        <w:ind w:left="72"/>
        <w:jc w:val="both"/>
        <w:textAlignment w:val="baseline"/>
        <w:rPr>
          <w:spacing w:val="5"/>
          <w:sz w:val="26"/>
          <w:szCs w:val="26"/>
          <w:lang w:val="es-ES" w:eastAsia="es-ES"/>
        </w:rPr>
      </w:pPr>
      <w:r>
        <w:rPr>
          <w:spacing w:val="5"/>
          <w:sz w:val="26"/>
          <w:szCs w:val="26"/>
          <w:lang w:val="es-ES" w:eastAsia="es-ES"/>
        </w:rPr>
        <w:t xml:space="preserve">En fin, conforme todo lo expuesto, se estima procedente el Recurso de Apelación y así debe ser determinado, acogiéndose las Acciones de marras y ordenándose al Consejo de Transporte Público que proceda a </w:t>
      </w:r>
      <w:r>
        <w:rPr>
          <w:spacing w:val="5"/>
          <w:sz w:val="26"/>
          <w:szCs w:val="26"/>
          <w:lang w:val="es-ES" w:eastAsia="es-ES"/>
        </w:rPr>
        <w:lastRenderedPageBreak/>
        <w:t>Revalorar y Resolver el Caso de la Recurrente, Conforme a Derecho y conforme a lo acotado en esta Resolución corresponda.</w:t>
      </w:r>
    </w:p>
    <w:p w:rsidR="007777D9" w:rsidRDefault="007777D9">
      <w:pPr>
        <w:kinsoku w:val="0"/>
        <w:overflowPunct w:val="0"/>
        <w:autoSpaceDE/>
        <w:autoSpaceDN/>
        <w:adjustRightInd/>
        <w:spacing w:before="306" w:line="300" w:lineRule="exact"/>
        <w:ind w:left="72"/>
        <w:jc w:val="center"/>
        <w:textAlignment w:val="baseline"/>
        <w:rPr>
          <w:b/>
          <w:bCs/>
          <w:i/>
          <w:iCs/>
          <w:spacing w:val="6"/>
          <w:sz w:val="26"/>
          <w:szCs w:val="26"/>
          <w:lang w:val="es-ES" w:eastAsia="es-ES"/>
        </w:rPr>
      </w:pPr>
      <w:r>
        <w:rPr>
          <w:b/>
          <w:bCs/>
          <w:i/>
          <w:iCs/>
          <w:spacing w:val="6"/>
          <w:sz w:val="26"/>
          <w:szCs w:val="26"/>
          <w:lang w:val="es-ES" w:eastAsia="es-ES"/>
        </w:rPr>
        <w:t>Por Tanto</w:t>
      </w:r>
    </w:p>
    <w:p w:rsidR="007777D9" w:rsidRDefault="007777D9">
      <w:pPr>
        <w:numPr>
          <w:ilvl w:val="0"/>
          <w:numId w:val="6"/>
        </w:numPr>
        <w:tabs>
          <w:tab w:val="right" w:pos="8856"/>
        </w:tabs>
        <w:kinsoku w:val="0"/>
        <w:overflowPunct w:val="0"/>
        <w:autoSpaceDE/>
        <w:autoSpaceDN/>
        <w:adjustRightInd/>
        <w:spacing w:before="316" w:line="311" w:lineRule="exact"/>
        <w:jc w:val="both"/>
        <w:textAlignment w:val="baseline"/>
        <w:rPr>
          <w:sz w:val="26"/>
          <w:szCs w:val="26"/>
          <w:lang w:val="es-ES" w:eastAsia="es-ES"/>
        </w:rPr>
      </w:pPr>
      <w:r>
        <w:rPr>
          <w:sz w:val="26"/>
          <w:szCs w:val="26"/>
          <w:lang w:val="es-ES" w:eastAsia="es-ES"/>
        </w:rPr>
        <w:t xml:space="preserve">Conforme todo lo apuntado antes, se </w:t>
      </w:r>
      <w:r>
        <w:rPr>
          <w:b/>
          <w:bCs/>
          <w:sz w:val="23"/>
          <w:szCs w:val="23"/>
          <w:u w:val="single"/>
          <w:lang w:val="es-ES" w:eastAsia="es-ES"/>
        </w:rPr>
        <w:t>DECLARAN CON LUGAR</w:t>
      </w:r>
      <w:r>
        <w:rPr>
          <w:sz w:val="26"/>
          <w:szCs w:val="26"/>
          <w:lang w:val="es-ES" w:eastAsia="es-ES"/>
        </w:rPr>
        <w:t xml:space="preserve"> el</w:t>
      </w:r>
      <w:r>
        <w:rPr>
          <w:sz w:val="26"/>
          <w:szCs w:val="26"/>
          <w:lang w:val="es-ES" w:eastAsia="es-ES"/>
        </w:rPr>
        <w:br/>
      </w:r>
      <w:r>
        <w:rPr>
          <w:b/>
          <w:bCs/>
          <w:sz w:val="26"/>
          <w:szCs w:val="26"/>
          <w:lang w:val="es-ES" w:eastAsia="es-ES"/>
        </w:rPr>
        <w:t xml:space="preserve">RECURSO DE APELACIÓN EN SUBSIDIO </w:t>
      </w:r>
      <w:r>
        <w:rPr>
          <w:sz w:val="26"/>
          <w:szCs w:val="26"/>
          <w:lang w:val="es-ES" w:eastAsia="es-ES"/>
        </w:rPr>
        <w:t>presentado por la señora N</w:t>
      </w:r>
      <w:r w:rsidR="00370147">
        <w:rPr>
          <w:sz w:val="26"/>
          <w:szCs w:val="26"/>
          <w:lang w:val="es-ES" w:eastAsia="es-ES"/>
        </w:rPr>
        <w:t>.M.C.N.</w:t>
      </w:r>
      <w:r>
        <w:rPr>
          <w:sz w:val="26"/>
          <w:szCs w:val="26"/>
          <w:lang w:val="es-ES" w:eastAsia="es-ES"/>
        </w:rPr>
        <w:t xml:space="preserve">, de calidades conocidas, portadora de la cédula de identidad número </w:t>
      </w:r>
      <w:r w:rsidR="00370147">
        <w:rPr>
          <w:sz w:val="26"/>
          <w:szCs w:val="26"/>
          <w:lang w:val="es-ES" w:eastAsia="es-ES"/>
        </w:rPr>
        <w:t>…</w:t>
      </w:r>
      <w:r>
        <w:rPr>
          <w:sz w:val="26"/>
          <w:szCs w:val="26"/>
          <w:lang w:val="es-ES" w:eastAsia="es-ES"/>
        </w:rPr>
        <w:t>, contra el Artículo 6.19.2 de la Sesión Ordinaria No. 75-2014 de fecha 08 de Diciembre del año 2014, de la Junta Directiva del Consejo de Transporte Público.</w:t>
      </w:r>
    </w:p>
    <w:p w:rsidR="007777D9" w:rsidRDefault="007777D9">
      <w:pPr>
        <w:numPr>
          <w:ilvl w:val="0"/>
          <w:numId w:val="7"/>
        </w:numPr>
        <w:kinsoku w:val="0"/>
        <w:overflowPunct w:val="0"/>
        <w:autoSpaceDE/>
        <w:autoSpaceDN/>
        <w:adjustRightInd/>
        <w:spacing w:before="292" w:line="302" w:lineRule="exact"/>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Vía Administrativa, toda vez que contra este acto resolutorio no procede recurso alguno.</w:t>
      </w:r>
    </w:p>
    <w:p w:rsidR="007777D9" w:rsidRDefault="007777D9" w:rsidP="00370147">
      <w:pPr>
        <w:numPr>
          <w:ilvl w:val="0"/>
          <w:numId w:val="7"/>
        </w:numPr>
        <w:kinsoku w:val="0"/>
        <w:overflowPunct w:val="0"/>
        <w:autoSpaceDE/>
        <w:autoSpaceDN/>
        <w:adjustRightInd/>
        <w:spacing w:after="389" w:line="550" w:lineRule="exact"/>
        <w:textAlignment w:val="baseline"/>
        <w:rPr>
          <w:sz w:val="24"/>
          <w:szCs w:val="24"/>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r w:rsidR="00370147">
        <w:rPr>
          <w:sz w:val="24"/>
          <w:szCs w:val="24"/>
        </w:rPr>
        <w:t xml:space="preserve"> </w:t>
      </w:r>
    </w:p>
    <w:p w:rsidR="00370147" w:rsidRPr="00851184" w:rsidRDefault="00370147" w:rsidP="00370147">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 xml:space="preserve">Lic. Carlos </w:t>
      </w:r>
      <w:bookmarkStart w:id="0" w:name="_GoBack"/>
      <w:bookmarkEnd w:id="0"/>
      <w:r w:rsidRPr="00851184">
        <w:rPr>
          <w:rStyle w:val="CharacterStyle1"/>
          <w:iCs/>
          <w:spacing w:val="5"/>
          <w:sz w:val="26"/>
          <w:szCs w:val="26"/>
        </w:rPr>
        <w:t>Portuguez Méndez</w:t>
      </w:r>
    </w:p>
    <w:p w:rsidR="00370147" w:rsidRDefault="00370147" w:rsidP="00370147">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370147" w:rsidRPr="00AE0D42" w:rsidRDefault="00370147" w:rsidP="0037014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370147" w:rsidRDefault="00370147" w:rsidP="00370147">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370147" w:rsidRDefault="00370147" w:rsidP="00370147">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370147" w:rsidRDefault="00370147" w:rsidP="00370147">
      <w:pPr>
        <w:kinsoku w:val="0"/>
        <w:overflowPunct w:val="0"/>
        <w:autoSpaceDE/>
        <w:autoSpaceDN/>
        <w:adjustRightInd/>
        <w:spacing w:after="389" w:line="550" w:lineRule="exact"/>
        <w:textAlignment w:val="baseline"/>
        <w:rPr>
          <w:sz w:val="24"/>
          <w:szCs w:val="24"/>
        </w:rPr>
      </w:pPr>
    </w:p>
    <w:p w:rsidR="00370147" w:rsidRDefault="00370147" w:rsidP="00370147">
      <w:pPr>
        <w:kinsoku w:val="0"/>
        <w:overflowPunct w:val="0"/>
        <w:autoSpaceDE/>
        <w:autoSpaceDN/>
        <w:adjustRightInd/>
        <w:spacing w:after="389" w:line="550" w:lineRule="exact"/>
        <w:textAlignment w:val="baseline"/>
        <w:rPr>
          <w:sz w:val="24"/>
          <w:szCs w:val="24"/>
        </w:rPr>
      </w:pPr>
    </w:p>
    <w:p w:rsidR="00370147" w:rsidRDefault="00370147" w:rsidP="00370147">
      <w:pPr>
        <w:kinsoku w:val="0"/>
        <w:overflowPunct w:val="0"/>
        <w:autoSpaceDE/>
        <w:autoSpaceDN/>
        <w:adjustRightInd/>
        <w:spacing w:after="389" w:line="550" w:lineRule="exact"/>
        <w:textAlignment w:val="baseline"/>
        <w:rPr>
          <w:sz w:val="24"/>
          <w:szCs w:val="24"/>
        </w:rPr>
        <w:sectPr w:rsidR="00370147">
          <w:type w:val="continuous"/>
          <w:pgSz w:w="12134" w:h="15840"/>
          <w:pgMar w:top="1400" w:right="1991" w:bottom="190" w:left="2203" w:header="720" w:footer="720" w:gutter="0"/>
          <w:cols w:space="720"/>
          <w:noEndnote/>
        </w:sectPr>
      </w:pPr>
    </w:p>
    <w:p w:rsidR="007777D9" w:rsidRDefault="007777D9" w:rsidP="00370147">
      <w:pPr>
        <w:tabs>
          <w:tab w:val="right" w:pos="3672"/>
        </w:tabs>
        <w:kinsoku w:val="0"/>
        <w:overflowPunct w:val="0"/>
        <w:autoSpaceDE/>
        <w:autoSpaceDN/>
        <w:adjustRightInd/>
        <w:spacing w:line="811" w:lineRule="exact"/>
        <w:textAlignment w:val="baseline"/>
        <w:rPr>
          <w:i/>
          <w:iCs/>
          <w:sz w:val="26"/>
          <w:szCs w:val="26"/>
          <w:lang w:val="es-ES" w:eastAsia="es-ES"/>
        </w:rPr>
      </w:pPr>
    </w:p>
    <w:sectPr w:rsidR="007777D9">
      <w:type w:val="continuous"/>
      <w:pgSz w:w="12134" w:h="15840"/>
      <w:pgMar w:top="1400" w:right="874" w:bottom="190" w:left="7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F80"/>
    <w:multiLevelType w:val="singleLevel"/>
    <w:tmpl w:val="6696BEF2"/>
    <w:lvl w:ilvl="0">
      <w:start w:val="1"/>
      <w:numFmt w:val="decimal"/>
      <w:lvlText w:val="%1.-"/>
      <w:lvlJc w:val="left"/>
      <w:pPr>
        <w:tabs>
          <w:tab w:val="num" w:pos="504"/>
        </w:tabs>
        <w:ind w:left="144"/>
      </w:pPr>
      <w:rPr>
        <w:rFonts w:cs="Times New Roman"/>
        <w:b/>
        <w:bCs/>
        <w:snapToGrid/>
        <w:sz w:val="23"/>
        <w:szCs w:val="23"/>
      </w:rPr>
    </w:lvl>
  </w:abstractNum>
  <w:abstractNum w:abstractNumId="1" w15:restartNumberingAfterBreak="0">
    <w:nsid w:val="0274CA60"/>
    <w:multiLevelType w:val="singleLevel"/>
    <w:tmpl w:val="9DA2F8EA"/>
    <w:lvl w:ilvl="0">
      <w:start w:val="1"/>
      <w:numFmt w:val="upperRoman"/>
      <w:lvlText w:val="%1.-"/>
      <w:lvlJc w:val="left"/>
      <w:pPr>
        <w:tabs>
          <w:tab w:val="num" w:pos="720"/>
        </w:tabs>
        <w:ind w:left="72"/>
      </w:pPr>
      <w:rPr>
        <w:rFonts w:cs="Times New Roman"/>
        <w:b/>
        <w:snapToGrid/>
        <w:sz w:val="26"/>
        <w:szCs w:val="26"/>
      </w:rPr>
    </w:lvl>
  </w:abstractNum>
  <w:abstractNum w:abstractNumId="2" w15:restartNumberingAfterBreak="0">
    <w:nsid w:val="02A7EC3C"/>
    <w:multiLevelType w:val="singleLevel"/>
    <w:tmpl w:val="197732AC"/>
    <w:lvl w:ilvl="0">
      <w:start w:val="4"/>
      <w:numFmt w:val="decimal"/>
      <w:lvlText w:val="%1.-"/>
      <w:lvlJc w:val="left"/>
      <w:pPr>
        <w:tabs>
          <w:tab w:val="num" w:pos="432"/>
        </w:tabs>
        <w:ind w:left="72"/>
      </w:pPr>
      <w:rPr>
        <w:rFonts w:cs="Times New Roman"/>
        <w:b/>
        <w:bCs/>
        <w:snapToGrid/>
        <w:spacing w:val="-13"/>
        <w:sz w:val="26"/>
        <w:szCs w:val="26"/>
      </w:rPr>
    </w:lvl>
  </w:abstractNum>
  <w:abstractNum w:abstractNumId="3" w15:restartNumberingAfterBreak="0">
    <w:nsid w:val="04F20CFE"/>
    <w:multiLevelType w:val="singleLevel"/>
    <w:tmpl w:val="A69C297E"/>
    <w:lvl w:ilvl="0">
      <w:start w:val="4"/>
      <w:numFmt w:val="decimal"/>
      <w:lvlText w:val="%1.-"/>
      <w:lvlJc w:val="left"/>
      <w:pPr>
        <w:tabs>
          <w:tab w:val="num" w:pos="792"/>
        </w:tabs>
        <w:ind w:left="144"/>
      </w:pPr>
      <w:rPr>
        <w:rFonts w:cs="Times New Roman"/>
        <w:b/>
        <w:snapToGrid/>
        <w:sz w:val="26"/>
        <w:szCs w:val="26"/>
      </w:rPr>
    </w:lvl>
  </w:abstractNum>
  <w:abstractNum w:abstractNumId="4" w15:restartNumberingAfterBreak="0">
    <w:nsid w:val="061DDE6D"/>
    <w:multiLevelType w:val="singleLevel"/>
    <w:tmpl w:val="2AC88304"/>
    <w:lvl w:ilvl="0">
      <w:start w:val="1"/>
      <w:numFmt w:val="decimal"/>
      <w:lvlText w:val="%1.-"/>
      <w:lvlJc w:val="left"/>
      <w:pPr>
        <w:tabs>
          <w:tab w:val="num" w:pos="720"/>
        </w:tabs>
        <w:ind w:left="72"/>
      </w:pPr>
      <w:rPr>
        <w:rFonts w:cs="Times New Roman"/>
        <w:b/>
        <w:snapToGrid/>
        <w:spacing w:val="6"/>
        <w:sz w:val="26"/>
        <w:szCs w:val="26"/>
      </w:rPr>
    </w:lvl>
  </w:abstractNum>
  <w:abstractNum w:abstractNumId="5" w15:restartNumberingAfterBreak="0">
    <w:nsid w:val="06B4886D"/>
    <w:multiLevelType w:val="singleLevel"/>
    <w:tmpl w:val="0D7C9C50"/>
    <w:lvl w:ilvl="0">
      <w:start w:val="1"/>
      <w:numFmt w:val="lowerLetter"/>
      <w:lvlText w:val="%1.-"/>
      <w:lvlJc w:val="left"/>
      <w:pPr>
        <w:tabs>
          <w:tab w:val="num" w:pos="792"/>
        </w:tabs>
        <w:ind w:left="144"/>
      </w:pPr>
      <w:rPr>
        <w:rFonts w:cs="Times New Roman"/>
        <w:b/>
        <w:i/>
        <w:iCs/>
        <w:snapToGrid/>
        <w:sz w:val="27"/>
        <w:szCs w:val="27"/>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1"/>
    <w:lvlOverride w:ilvl="0">
      <w:lvl w:ilvl="0">
        <w:numFmt w:val="upperRoman"/>
        <w:lvlText w:val="%1.-"/>
        <w:lvlJc w:val="left"/>
        <w:pPr>
          <w:tabs>
            <w:tab w:val="num" w:pos="720"/>
          </w:tabs>
          <w:ind w:left="72"/>
        </w:pPr>
        <w:rPr>
          <w:rFonts w:cs="Times New Roman"/>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A5"/>
    <w:rsid w:val="001748A5"/>
    <w:rsid w:val="00370147"/>
    <w:rsid w:val="007777D9"/>
    <w:rsid w:val="00D50F21"/>
    <w:rsid w:val="00EE35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87459"/>
  <w14:defaultImageDpi w14:val="0"/>
  <w15:docId w15:val="{CC7732B6-0097-46E7-9000-15279F69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70147"/>
    <w:rPr>
      <w:lang w:val="es-CR"/>
    </w:rPr>
  </w:style>
  <w:style w:type="character" w:customStyle="1" w:styleId="CharacterStyle1">
    <w:name w:val="Character Style 1"/>
    <w:uiPriority w:val="99"/>
    <w:rsid w:val="003701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6207</Words>
  <Characters>34141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2016-06-15T15:03:00Z</dcterms:created>
  <dcterms:modified xsi:type="dcterms:W3CDTF">2016-06-15T15:03:00Z</dcterms:modified>
</cp:coreProperties>
</file>